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552F" w14:textId="0F6B699C" w:rsidR="00862264" w:rsidRPr="00711557" w:rsidRDefault="00711557" w:rsidP="00711557">
      <w:pPr>
        <w:spacing w:after="0" w:line="259" w:lineRule="auto"/>
        <w:ind w:left="0" w:firstLine="0"/>
        <w:rPr>
          <w:sz w:val="20"/>
          <w:szCs w:val="20"/>
        </w:rPr>
      </w:pPr>
      <w:r w:rsidRPr="00711557">
        <w:rPr>
          <w:b/>
          <w:sz w:val="20"/>
          <w:szCs w:val="20"/>
        </w:rPr>
        <w:t>Maltby Learning Trust</w:t>
      </w:r>
      <w:r w:rsidRPr="00711557">
        <w:rPr>
          <w:sz w:val="20"/>
          <w:szCs w:val="20"/>
        </w:rPr>
        <w:t xml:space="preserve">  </w:t>
      </w:r>
    </w:p>
    <w:p w14:paraId="265DC4B7" w14:textId="40FC44D2" w:rsidR="00862264" w:rsidRPr="00711557" w:rsidRDefault="00711557">
      <w:pPr>
        <w:pStyle w:val="Heading1"/>
        <w:rPr>
          <w:sz w:val="20"/>
          <w:szCs w:val="20"/>
        </w:rPr>
      </w:pPr>
      <w:r w:rsidRPr="00711557">
        <w:rPr>
          <w:sz w:val="20"/>
          <w:szCs w:val="20"/>
        </w:rPr>
        <w:t>Gender Pay Gap Report 20</w:t>
      </w:r>
      <w:r>
        <w:rPr>
          <w:sz w:val="20"/>
          <w:szCs w:val="20"/>
        </w:rPr>
        <w:t>2</w:t>
      </w:r>
      <w:r w:rsidR="008C336F">
        <w:rPr>
          <w:sz w:val="20"/>
          <w:szCs w:val="20"/>
        </w:rPr>
        <w:t>3</w:t>
      </w:r>
    </w:p>
    <w:p w14:paraId="765075BF" w14:textId="77777777" w:rsidR="00862264" w:rsidRPr="00711557" w:rsidRDefault="00711557">
      <w:pPr>
        <w:spacing w:after="33" w:line="259" w:lineRule="auto"/>
        <w:ind w:left="0" w:firstLine="0"/>
        <w:rPr>
          <w:sz w:val="20"/>
          <w:szCs w:val="20"/>
        </w:rPr>
      </w:pPr>
      <w:r w:rsidRPr="00711557">
        <w:rPr>
          <w:rFonts w:ascii="Segoe UI" w:eastAsia="Segoe UI" w:hAnsi="Segoe UI" w:cs="Segoe UI"/>
          <w:sz w:val="20"/>
          <w:szCs w:val="20"/>
        </w:rPr>
        <w:t xml:space="preserve"> </w:t>
      </w:r>
    </w:p>
    <w:p w14:paraId="3BB9E600" w14:textId="29EBF3E9" w:rsidR="00862264" w:rsidRPr="00711557" w:rsidRDefault="00711557" w:rsidP="00711557">
      <w:pPr>
        <w:ind w:left="-5" w:right="-1"/>
        <w:rPr>
          <w:sz w:val="20"/>
          <w:szCs w:val="20"/>
        </w:rPr>
      </w:pPr>
      <w:r w:rsidRPr="00711557">
        <w:rPr>
          <w:sz w:val="20"/>
          <w:szCs w:val="20"/>
        </w:rPr>
        <w:t xml:space="preserve">The Maltby Learning Trust (MLT) as an employer is required by law to carry out Gender Pay </w:t>
      </w:r>
      <w:r>
        <w:rPr>
          <w:sz w:val="20"/>
          <w:szCs w:val="20"/>
        </w:rPr>
        <w:t>R</w:t>
      </w:r>
      <w:r w:rsidRPr="00711557">
        <w:rPr>
          <w:sz w:val="20"/>
          <w:szCs w:val="20"/>
        </w:rPr>
        <w:t>eporting under the Equality Act 2010 (Gender Pay Gap Information) Regulations 2017, to demonstrate how large the pay gap is between our male and female employees</w:t>
      </w:r>
      <w:r w:rsidR="00F33AEF" w:rsidRPr="00711557">
        <w:rPr>
          <w:sz w:val="20"/>
          <w:szCs w:val="20"/>
        </w:rPr>
        <w:t xml:space="preserve">. </w:t>
      </w:r>
    </w:p>
    <w:p w14:paraId="65B972B4" w14:textId="77777777" w:rsidR="00862264" w:rsidRPr="00711557" w:rsidRDefault="00711557" w:rsidP="00711557">
      <w:pPr>
        <w:spacing w:after="19" w:line="259" w:lineRule="auto"/>
        <w:ind w:left="0" w:firstLine="0"/>
        <w:rPr>
          <w:sz w:val="20"/>
          <w:szCs w:val="20"/>
        </w:rPr>
      </w:pPr>
      <w:r w:rsidRPr="00711557">
        <w:rPr>
          <w:rFonts w:ascii="Segoe UI" w:eastAsia="Segoe UI" w:hAnsi="Segoe UI" w:cs="Segoe UI"/>
          <w:sz w:val="20"/>
          <w:szCs w:val="20"/>
        </w:rPr>
        <w:t xml:space="preserve"> </w:t>
      </w:r>
    </w:p>
    <w:p w14:paraId="16724207" w14:textId="77777777" w:rsidR="00862264" w:rsidRPr="00711557" w:rsidRDefault="00711557" w:rsidP="00711557">
      <w:pPr>
        <w:ind w:left="-5" w:right="1106"/>
        <w:rPr>
          <w:sz w:val="20"/>
          <w:szCs w:val="20"/>
        </w:rPr>
      </w:pPr>
      <w:r w:rsidRPr="00711557">
        <w:rPr>
          <w:sz w:val="20"/>
          <w:szCs w:val="20"/>
        </w:rPr>
        <w:t>We publish these results on our own website by 31</w:t>
      </w:r>
      <w:r w:rsidRPr="00711557">
        <w:rPr>
          <w:sz w:val="20"/>
          <w:szCs w:val="20"/>
          <w:vertAlign w:val="superscript"/>
        </w:rPr>
        <w:t>st</w:t>
      </w:r>
      <w:r w:rsidRPr="00711557">
        <w:rPr>
          <w:sz w:val="20"/>
          <w:szCs w:val="20"/>
        </w:rPr>
        <w:t xml:space="preserve"> March each year. We use these results to assess:  </w:t>
      </w:r>
    </w:p>
    <w:p w14:paraId="345AA834" w14:textId="4BCD4F4D" w:rsidR="00862264" w:rsidRPr="00711557" w:rsidRDefault="00711557" w:rsidP="009A6E5B">
      <w:pPr>
        <w:spacing w:after="33" w:line="259" w:lineRule="auto"/>
        <w:ind w:left="0" w:firstLine="0"/>
        <w:rPr>
          <w:sz w:val="20"/>
          <w:szCs w:val="20"/>
        </w:rPr>
      </w:pPr>
      <w:r w:rsidRPr="00711557">
        <w:rPr>
          <w:rFonts w:ascii="Segoe UI" w:eastAsia="Segoe UI" w:hAnsi="Segoe UI" w:cs="Segoe UI"/>
          <w:sz w:val="20"/>
          <w:szCs w:val="20"/>
        </w:rPr>
        <w:t xml:space="preserve"> </w:t>
      </w:r>
      <w:r w:rsidRPr="00711557">
        <w:rPr>
          <w:sz w:val="20"/>
          <w:szCs w:val="20"/>
        </w:rPr>
        <w:t xml:space="preserve">The level of gender equality in our </w:t>
      </w:r>
      <w:r w:rsidR="009A6E5B" w:rsidRPr="00711557">
        <w:rPr>
          <w:sz w:val="20"/>
          <w:szCs w:val="20"/>
        </w:rPr>
        <w:t xml:space="preserve">workplace. </w:t>
      </w:r>
    </w:p>
    <w:p w14:paraId="7C95943F" w14:textId="77777777" w:rsidR="00711557" w:rsidRPr="00711557" w:rsidRDefault="00711557" w:rsidP="00711557">
      <w:pPr>
        <w:pStyle w:val="ListParagraph"/>
        <w:numPr>
          <w:ilvl w:val="0"/>
          <w:numId w:val="1"/>
        </w:numPr>
        <w:ind w:right="-1"/>
        <w:rPr>
          <w:sz w:val="20"/>
          <w:szCs w:val="20"/>
        </w:rPr>
      </w:pPr>
      <w:r w:rsidRPr="00711557">
        <w:rPr>
          <w:sz w:val="20"/>
          <w:szCs w:val="20"/>
        </w:rPr>
        <w:t>The balance of male and female employees at different levels;</w:t>
      </w:r>
    </w:p>
    <w:p w14:paraId="14F392BC" w14:textId="7846933D" w:rsidR="00862264" w:rsidRPr="00711557" w:rsidRDefault="00711557" w:rsidP="00711557">
      <w:pPr>
        <w:pStyle w:val="ListParagraph"/>
        <w:numPr>
          <w:ilvl w:val="0"/>
          <w:numId w:val="1"/>
        </w:numPr>
        <w:ind w:right="-1"/>
        <w:rPr>
          <w:sz w:val="20"/>
          <w:szCs w:val="20"/>
        </w:rPr>
      </w:pPr>
      <w:r w:rsidRPr="00711557">
        <w:rPr>
          <w:sz w:val="20"/>
          <w:szCs w:val="20"/>
        </w:rPr>
        <w:t>How effectively talent is being maximised and rewarded</w:t>
      </w:r>
      <w:r w:rsidR="00F33AEF" w:rsidRPr="00711557">
        <w:rPr>
          <w:sz w:val="20"/>
          <w:szCs w:val="20"/>
        </w:rPr>
        <w:t xml:space="preserve">. </w:t>
      </w:r>
    </w:p>
    <w:p w14:paraId="5F50E07B" w14:textId="77777777" w:rsidR="00862264" w:rsidRPr="00711557" w:rsidRDefault="00711557" w:rsidP="00711557">
      <w:pPr>
        <w:spacing w:after="0" w:line="259" w:lineRule="auto"/>
        <w:ind w:left="360" w:firstLine="0"/>
        <w:rPr>
          <w:sz w:val="20"/>
          <w:szCs w:val="20"/>
        </w:rPr>
      </w:pPr>
      <w:r w:rsidRPr="00711557">
        <w:rPr>
          <w:rFonts w:ascii="Calibri" w:eastAsia="Calibri" w:hAnsi="Calibri" w:cs="Calibri"/>
          <w:sz w:val="20"/>
          <w:szCs w:val="20"/>
        </w:rPr>
        <w:t xml:space="preserve"> </w:t>
      </w:r>
    </w:p>
    <w:p w14:paraId="3CC0B2A3" w14:textId="71490DB8" w:rsidR="00862264" w:rsidRPr="00711557" w:rsidRDefault="00711557" w:rsidP="00711557">
      <w:pPr>
        <w:spacing w:after="0" w:line="239" w:lineRule="auto"/>
        <w:ind w:left="0" w:right="-1" w:firstLine="0"/>
        <w:rPr>
          <w:sz w:val="20"/>
          <w:szCs w:val="20"/>
        </w:rPr>
      </w:pPr>
      <w:r w:rsidRPr="00711557">
        <w:rPr>
          <w:sz w:val="20"/>
          <w:szCs w:val="20"/>
        </w:rPr>
        <w:t>The overall gender pay gap is defined as the difference between the mean (average) or median (actual midpoint) hourly rate of pay of male and female employees</w:t>
      </w:r>
      <w:r w:rsidR="00F33AEF" w:rsidRPr="00711557">
        <w:rPr>
          <w:sz w:val="20"/>
          <w:szCs w:val="20"/>
        </w:rPr>
        <w:t xml:space="preserve">. </w:t>
      </w:r>
    </w:p>
    <w:p w14:paraId="4791FCE4" w14:textId="77777777" w:rsidR="00862264" w:rsidRPr="00711557" w:rsidRDefault="00711557" w:rsidP="00711557">
      <w:pPr>
        <w:spacing w:after="33" w:line="259" w:lineRule="auto"/>
        <w:ind w:left="0" w:firstLine="0"/>
        <w:rPr>
          <w:sz w:val="20"/>
          <w:szCs w:val="20"/>
        </w:rPr>
      </w:pPr>
      <w:r w:rsidRPr="00711557">
        <w:rPr>
          <w:rFonts w:ascii="Segoe UI" w:eastAsia="Segoe UI" w:hAnsi="Segoe UI" w:cs="Segoe UI"/>
          <w:sz w:val="20"/>
          <w:szCs w:val="20"/>
        </w:rPr>
        <w:t xml:space="preserve"> </w:t>
      </w:r>
    </w:p>
    <w:p w14:paraId="469FA353" w14:textId="77777777" w:rsidR="00862264" w:rsidRPr="00711557" w:rsidRDefault="00711557" w:rsidP="00711557">
      <w:pPr>
        <w:ind w:left="-5" w:right="1106"/>
        <w:rPr>
          <w:sz w:val="20"/>
          <w:szCs w:val="20"/>
        </w:rPr>
      </w:pPr>
      <w:r w:rsidRPr="00711557">
        <w:rPr>
          <w:sz w:val="20"/>
          <w:szCs w:val="20"/>
        </w:rPr>
        <w:t xml:space="preserve">The results of these statutory calculations are: </w:t>
      </w:r>
    </w:p>
    <w:p w14:paraId="75498196" w14:textId="77777777" w:rsidR="00862264" w:rsidRPr="00711557" w:rsidRDefault="00711557" w:rsidP="00711557">
      <w:pPr>
        <w:spacing w:after="16" w:line="259" w:lineRule="auto"/>
        <w:ind w:left="0" w:firstLine="0"/>
        <w:rPr>
          <w:sz w:val="20"/>
          <w:szCs w:val="20"/>
        </w:rPr>
      </w:pPr>
      <w:r w:rsidRPr="00711557">
        <w:rPr>
          <w:sz w:val="20"/>
          <w:szCs w:val="20"/>
        </w:rPr>
        <w:t xml:space="preserve"> </w:t>
      </w:r>
      <w:r w:rsidRPr="00711557">
        <w:rPr>
          <w:rFonts w:ascii="Segoe UI" w:eastAsia="Segoe UI" w:hAnsi="Segoe UI" w:cs="Segoe UI"/>
          <w:sz w:val="20"/>
          <w:szCs w:val="20"/>
        </w:rPr>
        <w:t xml:space="preserve"> </w:t>
      </w:r>
    </w:p>
    <w:p w14:paraId="1FFD60EA" w14:textId="409B290C" w:rsidR="00862264" w:rsidRPr="00570BF7" w:rsidRDefault="00711557" w:rsidP="00711557">
      <w:pPr>
        <w:pStyle w:val="Heading2"/>
        <w:ind w:left="-5"/>
        <w:rPr>
          <w:bCs/>
          <w:sz w:val="20"/>
          <w:szCs w:val="20"/>
        </w:rPr>
      </w:pPr>
      <w:r w:rsidRPr="00711557">
        <w:rPr>
          <w:sz w:val="20"/>
          <w:szCs w:val="20"/>
        </w:rPr>
        <w:t>Mean Gender Pay Gap</w:t>
      </w:r>
      <w:r w:rsidRPr="00711557">
        <w:rPr>
          <w:b w:val="0"/>
          <w:sz w:val="20"/>
          <w:szCs w:val="20"/>
        </w:rPr>
        <w:t xml:space="preserve"> </w:t>
      </w:r>
      <w:r w:rsidR="00D8170F" w:rsidRPr="00570BF7">
        <w:rPr>
          <w:rFonts w:eastAsia="Calibri" w:cs="Calibri"/>
          <w:bCs/>
          <w:sz w:val="20"/>
          <w:szCs w:val="20"/>
        </w:rPr>
        <w:t>(</w:t>
      </w:r>
      <w:r w:rsidR="00D1359C">
        <w:rPr>
          <w:rFonts w:eastAsia="Calibri" w:cs="Calibri"/>
          <w:bCs/>
          <w:sz w:val="20"/>
          <w:szCs w:val="20"/>
        </w:rPr>
        <w:t>All</w:t>
      </w:r>
      <w:r w:rsidR="00D8170F" w:rsidRPr="00570BF7">
        <w:rPr>
          <w:rFonts w:eastAsia="Calibri" w:cs="Calibri"/>
          <w:bCs/>
          <w:sz w:val="20"/>
          <w:szCs w:val="20"/>
        </w:rPr>
        <w:t>)</w:t>
      </w:r>
    </w:p>
    <w:p w14:paraId="567BA994" w14:textId="77777777" w:rsidR="00862264" w:rsidRPr="00711557" w:rsidRDefault="00711557" w:rsidP="00711557">
      <w:pPr>
        <w:spacing w:after="0" w:line="259" w:lineRule="auto"/>
        <w:ind w:left="360" w:firstLine="0"/>
        <w:rPr>
          <w:sz w:val="20"/>
          <w:szCs w:val="20"/>
        </w:rPr>
      </w:pPr>
      <w:r w:rsidRPr="00711557">
        <w:rPr>
          <w:rFonts w:ascii="Calibri" w:eastAsia="Calibri" w:hAnsi="Calibri" w:cs="Calibri"/>
          <w:sz w:val="20"/>
          <w:szCs w:val="20"/>
        </w:rPr>
        <w:t xml:space="preserve"> </w:t>
      </w:r>
    </w:p>
    <w:p w14:paraId="612571EC" w14:textId="01A328E8" w:rsidR="00862264" w:rsidRPr="007849BB" w:rsidRDefault="00711557" w:rsidP="00711557">
      <w:pPr>
        <w:ind w:left="-5" w:right="-1"/>
        <w:rPr>
          <w:color w:val="auto"/>
          <w:sz w:val="20"/>
          <w:szCs w:val="20"/>
        </w:rPr>
      </w:pPr>
      <w:r w:rsidRPr="007849BB">
        <w:rPr>
          <w:color w:val="auto"/>
          <w:sz w:val="20"/>
          <w:szCs w:val="20"/>
        </w:rPr>
        <w:t xml:space="preserve">The difference between the </w:t>
      </w:r>
      <w:r w:rsidR="00153564" w:rsidRPr="007849BB">
        <w:rPr>
          <w:color w:val="auto"/>
          <w:sz w:val="20"/>
          <w:szCs w:val="20"/>
        </w:rPr>
        <w:t xml:space="preserve">average hourly earnings </w:t>
      </w:r>
      <w:r w:rsidR="00D86250" w:rsidRPr="007849BB">
        <w:rPr>
          <w:color w:val="auto"/>
          <w:sz w:val="20"/>
          <w:szCs w:val="20"/>
        </w:rPr>
        <w:t>of</w:t>
      </w:r>
      <w:r w:rsidRPr="007849BB">
        <w:rPr>
          <w:color w:val="auto"/>
          <w:sz w:val="20"/>
          <w:szCs w:val="20"/>
        </w:rPr>
        <w:t xml:space="preserve"> male and female full pay relevant employees </w:t>
      </w:r>
      <w:r w:rsidR="00A90BB2" w:rsidRPr="007849BB">
        <w:rPr>
          <w:color w:val="auto"/>
          <w:sz w:val="20"/>
          <w:szCs w:val="20"/>
        </w:rPr>
        <w:t xml:space="preserve">received </w:t>
      </w:r>
      <w:r w:rsidRPr="007849BB">
        <w:rPr>
          <w:color w:val="auto"/>
          <w:sz w:val="20"/>
          <w:szCs w:val="20"/>
        </w:rPr>
        <w:t xml:space="preserve">is </w:t>
      </w:r>
      <w:r w:rsidR="002D46E0" w:rsidRPr="007849BB">
        <w:rPr>
          <w:color w:val="auto"/>
          <w:sz w:val="20"/>
          <w:szCs w:val="20"/>
        </w:rPr>
        <w:t xml:space="preserve">20.8% </w:t>
      </w:r>
      <w:r w:rsidR="009D3652" w:rsidRPr="007849BB">
        <w:rPr>
          <w:color w:val="auto"/>
          <w:sz w:val="20"/>
          <w:szCs w:val="20"/>
        </w:rPr>
        <w:t xml:space="preserve">(compared to </w:t>
      </w:r>
      <w:r w:rsidR="008C336F" w:rsidRPr="007849BB">
        <w:rPr>
          <w:color w:val="auto"/>
          <w:sz w:val="20"/>
          <w:szCs w:val="20"/>
        </w:rPr>
        <w:t xml:space="preserve">22.4% in 2022 and </w:t>
      </w:r>
      <w:r w:rsidR="00D053CC" w:rsidRPr="007849BB">
        <w:rPr>
          <w:color w:val="auto"/>
          <w:sz w:val="20"/>
          <w:szCs w:val="20"/>
        </w:rPr>
        <w:t>2</w:t>
      </w:r>
      <w:r w:rsidR="00ED1673" w:rsidRPr="007849BB">
        <w:rPr>
          <w:color w:val="auto"/>
          <w:sz w:val="20"/>
          <w:szCs w:val="20"/>
        </w:rPr>
        <w:t>3</w:t>
      </w:r>
      <w:r w:rsidR="00D053CC" w:rsidRPr="007849BB">
        <w:rPr>
          <w:color w:val="auto"/>
          <w:sz w:val="20"/>
          <w:szCs w:val="20"/>
        </w:rPr>
        <w:t>.</w:t>
      </w:r>
      <w:r w:rsidR="00ED1673" w:rsidRPr="007849BB">
        <w:rPr>
          <w:color w:val="auto"/>
          <w:sz w:val="20"/>
          <w:szCs w:val="20"/>
        </w:rPr>
        <w:t>7</w:t>
      </w:r>
      <w:r w:rsidR="00D053CC" w:rsidRPr="007849BB">
        <w:rPr>
          <w:color w:val="auto"/>
          <w:sz w:val="20"/>
          <w:szCs w:val="20"/>
        </w:rPr>
        <w:t>% in 202</w:t>
      </w:r>
      <w:r w:rsidR="00ED1673" w:rsidRPr="007849BB">
        <w:rPr>
          <w:color w:val="auto"/>
          <w:sz w:val="20"/>
          <w:szCs w:val="20"/>
        </w:rPr>
        <w:t>1</w:t>
      </w:r>
      <w:r w:rsidR="00D053CC" w:rsidRPr="007849BB">
        <w:rPr>
          <w:color w:val="auto"/>
          <w:sz w:val="20"/>
          <w:szCs w:val="20"/>
        </w:rPr>
        <w:t>).</w:t>
      </w:r>
    </w:p>
    <w:p w14:paraId="74905ECC" w14:textId="77777777" w:rsidR="00862264" w:rsidRPr="00711557" w:rsidRDefault="00711557" w:rsidP="00711557">
      <w:pPr>
        <w:spacing w:after="6" w:line="259" w:lineRule="auto"/>
        <w:ind w:left="0" w:firstLine="0"/>
        <w:rPr>
          <w:sz w:val="20"/>
          <w:szCs w:val="20"/>
        </w:rPr>
      </w:pPr>
      <w:r w:rsidRPr="00711557">
        <w:rPr>
          <w:sz w:val="20"/>
          <w:szCs w:val="20"/>
        </w:rPr>
        <w:t xml:space="preserve"> </w:t>
      </w:r>
    </w:p>
    <w:p w14:paraId="075DED03" w14:textId="700D6651" w:rsidR="001E0B2B" w:rsidRPr="00570BF7" w:rsidRDefault="00711557" w:rsidP="00A01354">
      <w:pPr>
        <w:pStyle w:val="Heading2"/>
        <w:ind w:left="-5"/>
        <w:rPr>
          <w:bCs/>
          <w:sz w:val="20"/>
          <w:szCs w:val="20"/>
        </w:rPr>
      </w:pPr>
      <w:r w:rsidRPr="00711557">
        <w:rPr>
          <w:sz w:val="20"/>
          <w:szCs w:val="20"/>
        </w:rPr>
        <w:t>Median Gender Pay Gap</w:t>
      </w:r>
      <w:r w:rsidRPr="00711557">
        <w:rPr>
          <w:rFonts w:ascii="Times New Roman" w:eastAsia="Times New Roman" w:hAnsi="Times New Roman" w:cs="Times New Roman"/>
          <w:sz w:val="20"/>
          <w:szCs w:val="20"/>
        </w:rPr>
        <w:t xml:space="preserve"> </w:t>
      </w:r>
      <w:r w:rsidR="001E0B2B" w:rsidRPr="00570BF7">
        <w:rPr>
          <w:rFonts w:eastAsia="Calibri" w:cs="Calibri"/>
          <w:bCs/>
          <w:sz w:val="20"/>
          <w:szCs w:val="20"/>
        </w:rPr>
        <w:t>(</w:t>
      </w:r>
      <w:r w:rsidR="00D1359C">
        <w:rPr>
          <w:rFonts w:eastAsia="Calibri" w:cs="Calibri"/>
          <w:bCs/>
          <w:sz w:val="20"/>
          <w:szCs w:val="20"/>
        </w:rPr>
        <w:t>All</w:t>
      </w:r>
      <w:r w:rsidR="001E0B2B" w:rsidRPr="00570BF7">
        <w:rPr>
          <w:rFonts w:eastAsia="Calibri" w:cs="Calibri"/>
          <w:bCs/>
          <w:sz w:val="20"/>
          <w:szCs w:val="20"/>
        </w:rPr>
        <w:t>)</w:t>
      </w:r>
    </w:p>
    <w:p w14:paraId="2AACB107" w14:textId="77777777" w:rsidR="00862264" w:rsidRPr="00711557" w:rsidRDefault="00711557" w:rsidP="00C310FE">
      <w:pPr>
        <w:spacing w:after="0" w:line="259" w:lineRule="auto"/>
        <w:ind w:left="0" w:firstLine="0"/>
        <w:rPr>
          <w:sz w:val="20"/>
          <w:szCs w:val="20"/>
        </w:rPr>
      </w:pPr>
      <w:r w:rsidRPr="00711557">
        <w:rPr>
          <w:rFonts w:ascii="Calibri" w:eastAsia="Calibri" w:hAnsi="Calibri" w:cs="Calibri"/>
          <w:sz w:val="20"/>
          <w:szCs w:val="20"/>
        </w:rPr>
        <w:t xml:space="preserve"> </w:t>
      </w:r>
    </w:p>
    <w:p w14:paraId="3E101171" w14:textId="7611F683" w:rsidR="00862264" w:rsidRPr="001950E6" w:rsidRDefault="00711557" w:rsidP="00711557">
      <w:pPr>
        <w:ind w:left="-5" w:right="1106"/>
        <w:rPr>
          <w:color w:val="auto"/>
          <w:sz w:val="20"/>
          <w:szCs w:val="20"/>
        </w:rPr>
      </w:pPr>
      <w:r w:rsidRPr="001950E6">
        <w:rPr>
          <w:color w:val="auto"/>
          <w:sz w:val="20"/>
          <w:szCs w:val="20"/>
        </w:rPr>
        <w:t xml:space="preserve">The difference between the </w:t>
      </w:r>
      <w:r w:rsidR="00D22ED4" w:rsidRPr="001950E6">
        <w:rPr>
          <w:color w:val="auto"/>
          <w:sz w:val="20"/>
          <w:szCs w:val="20"/>
        </w:rPr>
        <w:t xml:space="preserve">middle </w:t>
      </w:r>
      <w:r w:rsidR="001B2D85" w:rsidRPr="001950E6">
        <w:rPr>
          <w:color w:val="auto"/>
          <w:sz w:val="20"/>
          <w:szCs w:val="20"/>
        </w:rPr>
        <w:t xml:space="preserve">of the distribution </w:t>
      </w:r>
      <w:r w:rsidR="00F4679D" w:rsidRPr="001950E6">
        <w:rPr>
          <w:color w:val="auto"/>
          <w:sz w:val="20"/>
          <w:szCs w:val="20"/>
        </w:rPr>
        <w:t>(the middle being where half men/women</w:t>
      </w:r>
      <w:r w:rsidR="0006172F" w:rsidRPr="001950E6">
        <w:rPr>
          <w:color w:val="auto"/>
          <w:sz w:val="20"/>
          <w:szCs w:val="20"/>
        </w:rPr>
        <w:t xml:space="preserve"> earn </w:t>
      </w:r>
      <w:r w:rsidR="004E5046" w:rsidRPr="001950E6">
        <w:rPr>
          <w:color w:val="auto"/>
          <w:sz w:val="20"/>
          <w:szCs w:val="20"/>
        </w:rPr>
        <w:t>more,</w:t>
      </w:r>
      <w:r w:rsidR="0006172F" w:rsidRPr="001950E6">
        <w:rPr>
          <w:color w:val="auto"/>
          <w:sz w:val="20"/>
          <w:szCs w:val="20"/>
        </w:rPr>
        <w:t xml:space="preserve"> and half men/women earn less) </w:t>
      </w:r>
      <w:r w:rsidRPr="001950E6">
        <w:rPr>
          <w:color w:val="auto"/>
          <w:sz w:val="20"/>
          <w:szCs w:val="20"/>
        </w:rPr>
        <w:t xml:space="preserve">hourly rate of pay that male and female full pay relevant employees receive is </w:t>
      </w:r>
      <w:r w:rsidR="002D46E0" w:rsidRPr="001950E6">
        <w:rPr>
          <w:color w:val="auto"/>
          <w:sz w:val="20"/>
          <w:szCs w:val="20"/>
        </w:rPr>
        <w:t>31.8%</w:t>
      </w:r>
      <w:r w:rsidR="001950E6">
        <w:rPr>
          <w:color w:val="auto"/>
          <w:sz w:val="20"/>
          <w:szCs w:val="20"/>
        </w:rPr>
        <w:t xml:space="preserve"> </w:t>
      </w:r>
      <w:r w:rsidR="00B96C4E" w:rsidRPr="001950E6">
        <w:rPr>
          <w:color w:val="auto"/>
          <w:sz w:val="20"/>
          <w:szCs w:val="20"/>
        </w:rPr>
        <w:t xml:space="preserve">(compared to </w:t>
      </w:r>
      <w:r w:rsidR="008C336F" w:rsidRPr="001950E6">
        <w:rPr>
          <w:color w:val="auto"/>
          <w:sz w:val="20"/>
          <w:szCs w:val="20"/>
        </w:rPr>
        <w:t xml:space="preserve">30.7% in 2022 and </w:t>
      </w:r>
      <w:r w:rsidR="00ED1673" w:rsidRPr="001950E6">
        <w:rPr>
          <w:color w:val="auto"/>
          <w:sz w:val="20"/>
          <w:szCs w:val="20"/>
        </w:rPr>
        <w:t>40.4</w:t>
      </w:r>
      <w:r w:rsidR="00DB5480" w:rsidRPr="001950E6">
        <w:rPr>
          <w:color w:val="auto"/>
          <w:sz w:val="20"/>
          <w:szCs w:val="20"/>
        </w:rPr>
        <w:t>% in 202</w:t>
      </w:r>
      <w:r w:rsidR="00ED1673" w:rsidRPr="001950E6">
        <w:rPr>
          <w:color w:val="auto"/>
          <w:sz w:val="20"/>
          <w:szCs w:val="20"/>
        </w:rPr>
        <w:t>1</w:t>
      </w:r>
      <w:r w:rsidR="00DB5480" w:rsidRPr="001950E6">
        <w:rPr>
          <w:color w:val="auto"/>
          <w:sz w:val="20"/>
          <w:szCs w:val="20"/>
        </w:rPr>
        <w:t>).</w:t>
      </w:r>
    </w:p>
    <w:p w14:paraId="0979E2DD" w14:textId="77777777" w:rsidR="00862264" w:rsidRPr="00711557" w:rsidRDefault="00711557" w:rsidP="00711557">
      <w:pPr>
        <w:spacing w:after="69" w:line="259" w:lineRule="auto"/>
        <w:ind w:left="0" w:firstLine="0"/>
        <w:rPr>
          <w:sz w:val="20"/>
          <w:szCs w:val="20"/>
        </w:rPr>
      </w:pPr>
      <w:r w:rsidRPr="00711557">
        <w:rPr>
          <w:rFonts w:ascii="Segoe UI" w:eastAsia="Segoe UI" w:hAnsi="Segoe UI" w:cs="Segoe UI"/>
          <w:sz w:val="20"/>
          <w:szCs w:val="20"/>
        </w:rPr>
        <w:t xml:space="preserve"> </w:t>
      </w:r>
    </w:p>
    <w:p w14:paraId="70EC15B5" w14:textId="0739B5D6" w:rsidR="001E0B2B" w:rsidRPr="00570BF7" w:rsidRDefault="00711557" w:rsidP="00A01354">
      <w:pPr>
        <w:pStyle w:val="Heading2"/>
        <w:ind w:left="-5"/>
        <w:rPr>
          <w:bCs/>
          <w:sz w:val="20"/>
          <w:szCs w:val="20"/>
        </w:rPr>
      </w:pPr>
      <w:r w:rsidRPr="00711557">
        <w:rPr>
          <w:sz w:val="20"/>
          <w:szCs w:val="20"/>
        </w:rPr>
        <w:t>Mean and Median Bonus Gap</w:t>
      </w:r>
      <w:r w:rsidR="001E0B2B">
        <w:rPr>
          <w:b w:val="0"/>
          <w:sz w:val="20"/>
          <w:szCs w:val="20"/>
        </w:rPr>
        <w:t xml:space="preserve"> </w:t>
      </w:r>
      <w:r w:rsidR="001E0B2B" w:rsidRPr="00570BF7">
        <w:rPr>
          <w:rFonts w:eastAsia="Calibri" w:cs="Calibri"/>
          <w:bCs/>
          <w:sz w:val="20"/>
          <w:szCs w:val="20"/>
        </w:rPr>
        <w:t>(</w:t>
      </w:r>
      <w:r w:rsidR="00D1359C">
        <w:rPr>
          <w:rFonts w:eastAsia="Calibri" w:cs="Calibri"/>
          <w:bCs/>
          <w:sz w:val="20"/>
          <w:szCs w:val="20"/>
        </w:rPr>
        <w:t>All</w:t>
      </w:r>
      <w:r w:rsidR="001E0B2B" w:rsidRPr="00570BF7">
        <w:rPr>
          <w:rFonts w:eastAsia="Calibri" w:cs="Calibri"/>
          <w:bCs/>
          <w:sz w:val="20"/>
          <w:szCs w:val="20"/>
        </w:rPr>
        <w:t>)</w:t>
      </w:r>
    </w:p>
    <w:p w14:paraId="505EE0A9" w14:textId="77777777" w:rsidR="00862264" w:rsidRPr="00711557" w:rsidRDefault="00711557" w:rsidP="00C310FE">
      <w:pPr>
        <w:spacing w:after="0" w:line="259" w:lineRule="auto"/>
        <w:ind w:left="0" w:firstLine="0"/>
        <w:rPr>
          <w:sz w:val="20"/>
          <w:szCs w:val="20"/>
        </w:rPr>
      </w:pPr>
      <w:r w:rsidRPr="00711557">
        <w:rPr>
          <w:rFonts w:ascii="Calibri" w:eastAsia="Calibri" w:hAnsi="Calibri" w:cs="Calibri"/>
          <w:sz w:val="20"/>
          <w:szCs w:val="20"/>
        </w:rPr>
        <w:t xml:space="preserve"> </w:t>
      </w:r>
    </w:p>
    <w:p w14:paraId="62DD958C" w14:textId="08C6C056" w:rsidR="00862264" w:rsidRPr="00711557" w:rsidRDefault="00711557" w:rsidP="00711557">
      <w:pPr>
        <w:ind w:left="-5" w:right="1106"/>
        <w:rPr>
          <w:sz w:val="20"/>
          <w:szCs w:val="20"/>
        </w:rPr>
      </w:pPr>
      <w:r w:rsidRPr="00711557">
        <w:rPr>
          <w:sz w:val="20"/>
          <w:szCs w:val="20"/>
        </w:rPr>
        <w:t>The Maltby Learning Trust (MLT) does not pay bonuses to employees</w:t>
      </w:r>
      <w:r w:rsidR="009A6E5B" w:rsidRPr="00711557">
        <w:rPr>
          <w:sz w:val="20"/>
          <w:szCs w:val="20"/>
        </w:rPr>
        <w:t xml:space="preserve">. </w:t>
      </w:r>
    </w:p>
    <w:p w14:paraId="69BF1A1C" w14:textId="77777777" w:rsidR="00862264" w:rsidRPr="00711557" w:rsidRDefault="00711557" w:rsidP="00711557">
      <w:pPr>
        <w:spacing w:after="65" w:line="259" w:lineRule="auto"/>
        <w:ind w:left="0" w:firstLine="0"/>
        <w:rPr>
          <w:sz w:val="20"/>
          <w:szCs w:val="20"/>
        </w:rPr>
      </w:pPr>
      <w:r w:rsidRPr="00711557">
        <w:rPr>
          <w:rFonts w:ascii="Segoe UI" w:eastAsia="Segoe UI" w:hAnsi="Segoe UI" w:cs="Segoe UI"/>
          <w:sz w:val="20"/>
          <w:szCs w:val="20"/>
        </w:rPr>
        <w:t xml:space="preserve"> </w:t>
      </w:r>
    </w:p>
    <w:p w14:paraId="12B83A58" w14:textId="24CF3C50" w:rsidR="001E0B2B" w:rsidRPr="00570BF7" w:rsidRDefault="002B5DA5" w:rsidP="00A01354">
      <w:pPr>
        <w:pStyle w:val="Heading2"/>
        <w:ind w:left="-5"/>
        <w:rPr>
          <w:bCs/>
          <w:sz w:val="20"/>
          <w:szCs w:val="20"/>
        </w:rPr>
      </w:pPr>
      <w:r>
        <w:rPr>
          <w:sz w:val="20"/>
          <w:szCs w:val="20"/>
        </w:rPr>
        <w:t>P</w:t>
      </w:r>
      <w:r w:rsidR="00711557" w:rsidRPr="00711557">
        <w:rPr>
          <w:sz w:val="20"/>
          <w:szCs w:val="20"/>
        </w:rPr>
        <w:t>roportion of males and females in each Quartile Pay Band</w:t>
      </w:r>
      <w:r w:rsidR="00711557" w:rsidRPr="00711557">
        <w:rPr>
          <w:rFonts w:ascii="Times New Roman" w:eastAsia="Times New Roman" w:hAnsi="Times New Roman" w:cs="Times New Roman"/>
          <w:sz w:val="20"/>
          <w:szCs w:val="20"/>
        </w:rPr>
        <w:t xml:space="preserve"> </w:t>
      </w:r>
      <w:r w:rsidR="001E0B2B" w:rsidRPr="00570BF7">
        <w:rPr>
          <w:rFonts w:eastAsia="Calibri" w:cs="Calibri"/>
          <w:bCs/>
          <w:sz w:val="20"/>
          <w:szCs w:val="20"/>
        </w:rPr>
        <w:t>(</w:t>
      </w:r>
      <w:r w:rsidR="00D1359C">
        <w:rPr>
          <w:rFonts w:eastAsia="Calibri" w:cs="Calibri"/>
          <w:bCs/>
          <w:sz w:val="20"/>
          <w:szCs w:val="20"/>
        </w:rPr>
        <w:t>All</w:t>
      </w:r>
      <w:r w:rsidR="001E0B2B" w:rsidRPr="00570BF7">
        <w:rPr>
          <w:rFonts w:eastAsia="Calibri" w:cs="Calibri"/>
          <w:bCs/>
          <w:sz w:val="20"/>
          <w:szCs w:val="20"/>
        </w:rPr>
        <w:t>)</w:t>
      </w:r>
    </w:p>
    <w:p w14:paraId="0162A449" w14:textId="23277931" w:rsidR="00862264" w:rsidRPr="00711557" w:rsidRDefault="00862264" w:rsidP="00711557">
      <w:pPr>
        <w:spacing w:after="0" w:line="259" w:lineRule="auto"/>
        <w:ind w:left="0" w:firstLine="0"/>
        <w:rPr>
          <w:sz w:val="20"/>
          <w:szCs w:val="20"/>
        </w:rPr>
      </w:pPr>
    </w:p>
    <w:tbl>
      <w:tblPr>
        <w:tblStyle w:val="TableGrid"/>
        <w:tblW w:w="90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37" w:type="dxa"/>
          <w:right w:w="99" w:type="dxa"/>
        </w:tblCellMar>
        <w:tblLook w:val="04A0" w:firstRow="1" w:lastRow="0" w:firstColumn="1" w:lastColumn="0" w:noHBand="0" w:noVBand="1"/>
      </w:tblPr>
      <w:tblGrid>
        <w:gridCol w:w="1306"/>
        <w:gridCol w:w="828"/>
        <w:gridCol w:w="1120"/>
        <w:gridCol w:w="700"/>
        <w:gridCol w:w="1134"/>
        <w:gridCol w:w="709"/>
        <w:gridCol w:w="1276"/>
        <w:gridCol w:w="850"/>
        <w:gridCol w:w="1134"/>
      </w:tblGrid>
      <w:tr w:rsidR="000C04A8" w:rsidRPr="00711557" w14:paraId="5FA582C4" w14:textId="77777777" w:rsidTr="00E84392">
        <w:trPr>
          <w:trHeight w:val="304"/>
        </w:trPr>
        <w:tc>
          <w:tcPr>
            <w:tcW w:w="1306" w:type="dxa"/>
            <w:vMerge w:val="restart"/>
          </w:tcPr>
          <w:p w14:paraId="404522A4" w14:textId="77777777" w:rsidR="00862264" w:rsidRPr="00711557" w:rsidRDefault="00711557" w:rsidP="00711557">
            <w:pPr>
              <w:spacing w:after="0" w:line="259" w:lineRule="auto"/>
              <w:ind w:left="0" w:firstLine="0"/>
              <w:rPr>
                <w:sz w:val="20"/>
                <w:szCs w:val="20"/>
              </w:rPr>
            </w:pPr>
            <w:r w:rsidRPr="00711557">
              <w:rPr>
                <w:rFonts w:eastAsia="Calibri" w:cs="Calibri"/>
                <w:b/>
                <w:sz w:val="20"/>
                <w:szCs w:val="20"/>
              </w:rPr>
              <w:t>Gender</w:t>
            </w:r>
          </w:p>
        </w:tc>
        <w:tc>
          <w:tcPr>
            <w:tcW w:w="1948" w:type="dxa"/>
            <w:gridSpan w:val="2"/>
          </w:tcPr>
          <w:p w14:paraId="56BD23E6" w14:textId="77777777" w:rsidR="00711557" w:rsidRDefault="00711557" w:rsidP="00711557">
            <w:pPr>
              <w:spacing w:after="0" w:line="259" w:lineRule="auto"/>
              <w:ind w:left="55" w:firstLine="0"/>
              <w:jc w:val="center"/>
              <w:rPr>
                <w:rFonts w:eastAsia="Calibri" w:cs="Calibri"/>
                <w:b/>
                <w:sz w:val="20"/>
                <w:szCs w:val="20"/>
              </w:rPr>
            </w:pPr>
            <w:r w:rsidRPr="00711557">
              <w:rPr>
                <w:rFonts w:eastAsia="Calibri" w:cs="Calibri"/>
                <w:b/>
                <w:sz w:val="20"/>
                <w:szCs w:val="20"/>
              </w:rPr>
              <w:t xml:space="preserve">Lower </w:t>
            </w:r>
          </w:p>
          <w:p w14:paraId="374EC82B" w14:textId="575AF02F" w:rsidR="00862264" w:rsidRPr="00711557" w:rsidRDefault="00711557" w:rsidP="00711557">
            <w:pPr>
              <w:spacing w:after="0" w:line="259" w:lineRule="auto"/>
              <w:ind w:left="55" w:firstLine="0"/>
              <w:jc w:val="center"/>
              <w:rPr>
                <w:sz w:val="20"/>
                <w:szCs w:val="20"/>
              </w:rPr>
            </w:pPr>
            <w:r w:rsidRPr="00711557">
              <w:rPr>
                <w:rFonts w:eastAsia="Calibri" w:cs="Calibri"/>
                <w:b/>
                <w:sz w:val="20"/>
                <w:szCs w:val="20"/>
              </w:rPr>
              <w:t>Quartile</w:t>
            </w:r>
          </w:p>
        </w:tc>
        <w:tc>
          <w:tcPr>
            <w:tcW w:w="1834" w:type="dxa"/>
            <w:gridSpan w:val="2"/>
          </w:tcPr>
          <w:p w14:paraId="6461EFB6" w14:textId="77777777" w:rsidR="00862264" w:rsidRPr="00711557" w:rsidRDefault="00711557" w:rsidP="00711557">
            <w:pPr>
              <w:spacing w:after="0" w:line="259" w:lineRule="auto"/>
              <w:ind w:left="8" w:firstLine="0"/>
              <w:jc w:val="center"/>
              <w:rPr>
                <w:sz w:val="20"/>
                <w:szCs w:val="20"/>
              </w:rPr>
            </w:pPr>
            <w:r w:rsidRPr="00711557">
              <w:rPr>
                <w:rFonts w:eastAsia="Calibri" w:cs="Calibri"/>
                <w:b/>
                <w:sz w:val="20"/>
                <w:szCs w:val="20"/>
              </w:rPr>
              <w:t>Lower Middle Quartile</w:t>
            </w:r>
          </w:p>
        </w:tc>
        <w:tc>
          <w:tcPr>
            <w:tcW w:w="1985" w:type="dxa"/>
            <w:gridSpan w:val="2"/>
          </w:tcPr>
          <w:p w14:paraId="1C360E02" w14:textId="77777777" w:rsidR="00862264" w:rsidRPr="00711557" w:rsidRDefault="00711557" w:rsidP="00711557">
            <w:pPr>
              <w:spacing w:after="0" w:line="259" w:lineRule="auto"/>
              <w:ind w:left="7" w:firstLine="0"/>
              <w:jc w:val="center"/>
              <w:rPr>
                <w:sz w:val="20"/>
                <w:szCs w:val="20"/>
              </w:rPr>
            </w:pPr>
            <w:r w:rsidRPr="00711557">
              <w:rPr>
                <w:rFonts w:eastAsia="Calibri" w:cs="Calibri"/>
                <w:b/>
                <w:sz w:val="20"/>
                <w:szCs w:val="20"/>
              </w:rPr>
              <w:t>Middle Upper Quartile</w:t>
            </w:r>
          </w:p>
        </w:tc>
        <w:tc>
          <w:tcPr>
            <w:tcW w:w="1984" w:type="dxa"/>
            <w:gridSpan w:val="2"/>
          </w:tcPr>
          <w:p w14:paraId="5C5374BB" w14:textId="77777777" w:rsidR="00711557" w:rsidRDefault="00711557" w:rsidP="00711557">
            <w:pPr>
              <w:spacing w:after="0" w:line="259" w:lineRule="auto"/>
              <w:ind w:left="69" w:firstLine="0"/>
              <w:jc w:val="center"/>
              <w:rPr>
                <w:rFonts w:eastAsia="Calibri" w:cs="Calibri"/>
                <w:b/>
                <w:sz w:val="20"/>
                <w:szCs w:val="20"/>
              </w:rPr>
            </w:pPr>
            <w:r w:rsidRPr="00711557">
              <w:rPr>
                <w:rFonts w:eastAsia="Calibri" w:cs="Calibri"/>
                <w:b/>
                <w:sz w:val="20"/>
                <w:szCs w:val="20"/>
              </w:rPr>
              <w:t xml:space="preserve">Upper </w:t>
            </w:r>
          </w:p>
          <w:p w14:paraId="60C423FD" w14:textId="31170CD1" w:rsidR="00862264" w:rsidRPr="00711557" w:rsidRDefault="00711557" w:rsidP="00711557">
            <w:pPr>
              <w:spacing w:after="0" w:line="259" w:lineRule="auto"/>
              <w:ind w:left="69" w:firstLine="0"/>
              <w:jc w:val="center"/>
              <w:rPr>
                <w:sz w:val="20"/>
                <w:szCs w:val="20"/>
              </w:rPr>
            </w:pPr>
            <w:r w:rsidRPr="00711557">
              <w:rPr>
                <w:rFonts w:eastAsia="Calibri" w:cs="Calibri"/>
                <w:b/>
                <w:sz w:val="20"/>
                <w:szCs w:val="20"/>
              </w:rPr>
              <w:t>Quartile</w:t>
            </w:r>
          </w:p>
        </w:tc>
      </w:tr>
      <w:tr w:rsidR="002D46E0" w:rsidRPr="00711557" w14:paraId="2F7D173F" w14:textId="77777777" w:rsidTr="00E84392">
        <w:trPr>
          <w:trHeight w:val="311"/>
        </w:trPr>
        <w:tc>
          <w:tcPr>
            <w:tcW w:w="0" w:type="auto"/>
            <w:vMerge/>
          </w:tcPr>
          <w:p w14:paraId="6B967B95" w14:textId="77777777" w:rsidR="00862264" w:rsidRPr="00711557" w:rsidRDefault="00862264" w:rsidP="00711557">
            <w:pPr>
              <w:spacing w:after="160" w:line="259" w:lineRule="auto"/>
              <w:ind w:left="0" w:firstLine="0"/>
              <w:rPr>
                <w:sz w:val="20"/>
                <w:szCs w:val="20"/>
              </w:rPr>
            </w:pPr>
          </w:p>
        </w:tc>
        <w:tc>
          <w:tcPr>
            <w:tcW w:w="828" w:type="dxa"/>
          </w:tcPr>
          <w:p w14:paraId="070FEFEE" w14:textId="77777777" w:rsidR="00862264" w:rsidRPr="00711557" w:rsidRDefault="00711557" w:rsidP="00711557">
            <w:pPr>
              <w:spacing w:after="0" w:line="259" w:lineRule="auto"/>
              <w:ind w:left="92" w:firstLine="0"/>
              <w:jc w:val="center"/>
              <w:rPr>
                <w:sz w:val="20"/>
                <w:szCs w:val="20"/>
              </w:rPr>
            </w:pPr>
            <w:r w:rsidRPr="00711557">
              <w:rPr>
                <w:rFonts w:eastAsia="Calibri" w:cs="Calibri"/>
                <w:b/>
                <w:sz w:val="20"/>
                <w:szCs w:val="20"/>
              </w:rPr>
              <w:t>%</w:t>
            </w:r>
          </w:p>
        </w:tc>
        <w:tc>
          <w:tcPr>
            <w:tcW w:w="1120" w:type="dxa"/>
          </w:tcPr>
          <w:p w14:paraId="0974270D" w14:textId="77777777" w:rsidR="00862264" w:rsidRPr="00711557" w:rsidRDefault="00711557" w:rsidP="00711557">
            <w:pPr>
              <w:spacing w:after="0" w:line="259" w:lineRule="auto"/>
              <w:ind w:left="200" w:firstLine="0"/>
              <w:jc w:val="center"/>
              <w:rPr>
                <w:sz w:val="20"/>
                <w:szCs w:val="20"/>
              </w:rPr>
            </w:pPr>
            <w:r w:rsidRPr="00711557">
              <w:rPr>
                <w:rFonts w:eastAsia="Calibri" w:cs="Calibri"/>
                <w:b/>
                <w:sz w:val="20"/>
                <w:szCs w:val="20"/>
              </w:rPr>
              <w:t>Number</w:t>
            </w:r>
          </w:p>
        </w:tc>
        <w:tc>
          <w:tcPr>
            <w:tcW w:w="700" w:type="dxa"/>
          </w:tcPr>
          <w:p w14:paraId="480AC9EE" w14:textId="77777777" w:rsidR="00862264" w:rsidRPr="00711557" w:rsidRDefault="00711557" w:rsidP="00711557">
            <w:pPr>
              <w:spacing w:after="0" w:line="259" w:lineRule="auto"/>
              <w:ind w:left="78" w:firstLine="0"/>
              <w:jc w:val="center"/>
              <w:rPr>
                <w:sz w:val="20"/>
                <w:szCs w:val="20"/>
              </w:rPr>
            </w:pPr>
            <w:r w:rsidRPr="00711557">
              <w:rPr>
                <w:rFonts w:eastAsia="Calibri" w:cs="Calibri"/>
                <w:b/>
                <w:sz w:val="20"/>
                <w:szCs w:val="20"/>
              </w:rPr>
              <w:t>%</w:t>
            </w:r>
          </w:p>
        </w:tc>
        <w:tc>
          <w:tcPr>
            <w:tcW w:w="1134" w:type="dxa"/>
          </w:tcPr>
          <w:p w14:paraId="60F18FBE" w14:textId="77777777" w:rsidR="00862264" w:rsidRPr="00711557" w:rsidRDefault="00711557" w:rsidP="00711557">
            <w:pPr>
              <w:spacing w:after="0" w:line="259" w:lineRule="auto"/>
              <w:ind w:left="141" w:firstLine="0"/>
              <w:jc w:val="center"/>
              <w:rPr>
                <w:sz w:val="20"/>
                <w:szCs w:val="20"/>
              </w:rPr>
            </w:pPr>
            <w:r w:rsidRPr="00711557">
              <w:rPr>
                <w:rFonts w:eastAsia="Calibri" w:cs="Calibri"/>
                <w:b/>
                <w:sz w:val="20"/>
                <w:szCs w:val="20"/>
              </w:rPr>
              <w:t>Number</w:t>
            </w:r>
          </w:p>
        </w:tc>
        <w:tc>
          <w:tcPr>
            <w:tcW w:w="709" w:type="dxa"/>
          </w:tcPr>
          <w:p w14:paraId="2E245586" w14:textId="77777777" w:rsidR="00862264" w:rsidRPr="00711557" w:rsidRDefault="00711557" w:rsidP="00711557">
            <w:pPr>
              <w:spacing w:after="0" w:line="259" w:lineRule="auto"/>
              <w:ind w:left="93" w:firstLine="0"/>
              <w:jc w:val="center"/>
              <w:rPr>
                <w:sz w:val="20"/>
                <w:szCs w:val="20"/>
              </w:rPr>
            </w:pPr>
            <w:r w:rsidRPr="00711557">
              <w:rPr>
                <w:rFonts w:eastAsia="Calibri" w:cs="Calibri"/>
                <w:b/>
                <w:sz w:val="20"/>
                <w:szCs w:val="20"/>
              </w:rPr>
              <w:t>%</w:t>
            </w:r>
          </w:p>
        </w:tc>
        <w:tc>
          <w:tcPr>
            <w:tcW w:w="1276" w:type="dxa"/>
          </w:tcPr>
          <w:p w14:paraId="42F1C5EE" w14:textId="77777777" w:rsidR="00862264" w:rsidRPr="00711557" w:rsidRDefault="00711557" w:rsidP="00711557">
            <w:pPr>
              <w:spacing w:after="0" w:line="259" w:lineRule="auto"/>
              <w:ind w:left="141" w:firstLine="0"/>
              <w:jc w:val="center"/>
              <w:rPr>
                <w:sz w:val="20"/>
                <w:szCs w:val="20"/>
              </w:rPr>
            </w:pPr>
            <w:r w:rsidRPr="00711557">
              <w:rPr>
                <w:rFonts w:eastAsia="Calibri" w:cs="Calibri"/>
                <w:b/>
                <w:sz w:val="20"/>
                <w:szCs w:val="20"/>
              </w:rPr>
              <w:t>Number</w:t>
            </w:r>
          </w:p>
        </w:tc>
        <w:tc>
          <w:tcPr>
            <w:tcW w:w="850" w:type="dxa"/>
          </w:tcPr>
          <w:p w14:paraId="5043038B" w14:textId="77777777" w:rsidR="00862264" w:rsidRPr="00711557" w:rsidRDefault="00711557" w:rsidP="00711557">
            <w:pPr>
              <w:spacing w:after="0" w:line="259" w:lineRule="auto"/>
              <w:ind w:left="78" w:firstLine="0"/>
              <w:jc w:val="center"/>
              <w:rPr>
                <w:sz w:val="20"/>
                <w:szCs w:val="20"/>
              </w:rPr>
            </w:pPr>
            <w:r w:rsidRPr="00711557">
              <w:rPr>
                <w:rFonts w:eastAsia="Calibri" w:cs="Calibri"/>
                <w:b/>
                <w:sz w:val="20"/>
                <w:szCs w:val="20"/>
              </w:rPr>
              <w:t>%</w:t>
            </w:r>
          </w:p>
        </w:tc>
        <w:tc>
          <w:tcPr>
            <w:tcW w:w="1134" w:type="dxa"/>
          </w:tcPr>
          <w:p w14:paraId="35EBBB4C" w14:textId="77777777" w:rsidR="00862264" w:rsidRPr="00711557" w:rsidRDefault="00711557" w:rsidP="00711557">
            <w:pPr>
              <w:spacing w:after="0" w:line="259" w:lineRule="auto"/>
              <w:ind w:left="81" w:firstLine="0"/>
              <w:jc w:val="center"/>
              <w:rPr>
                <w:sz w:val="20"/>
                <w:szCs w:val="20"/>
              </w:rPr>
            </w:pPr>
            <w:r w:rsidRPr="00711557">
              <w:rPr>
                <w:rFonts w:eastAsia="Calibri" w:cs="Calibri"/>
                <w:b/>
                <w:sz w:val="20"/>
                <w:szCs w:val="20"/>
              </w:rPr>
              <w:t>Number</w:t>
            </w:r>
          </w:p>
        </w:tc>
      </w:tr>
      <w:tr w:rsidR="002D46E0" w:rsidRPr="00711557" w14:paraId="580DD1C0" w14:textId="77777777" w:rsidTr="00E84392">
        <w:trPr>
          <w:trHeight w:val="608"/>
        </w:trPr>
        <w:tc>
          <w:tcPr>
            <w:tcW w:w="1306" w:type="dxa"/>
          </w:tcPr>
          <w:p w14:paraId="6CF18E0C" w14:textId="77777777" w:rsidR="00862264" w:rsidRPr="00711557" w:rsidRDefault="00711557" w:rsidP="00711557">
            <w:pPr>
              <w:spacing w:after="3" w:line="259" w:lineRule="auto"/>
              <w:ind w:left="0" w:firstLine="0"/>
              <w:rPr>
                <w:sz w:val="20"/>
                <w:szCs w:val="20"/>
              </w:rPr>
            </w:pPr>
            <w:r w:rsidRPr="00711557">
              <w:rPr>
                <w:rFonts w:eastAsia="Calibri" w:cs="Calibri"/>
                <w:sz w:val="20"/>
                <w:szCs w:val="20"/>
              </w:rPr>
              <w:t xml:space="preserve">Female </w:t>
            </w:r>
          </w:p>
          <w:p w14:paraId="09E34B1D" w14:textId="77777777" w:rsidR="00862264" w:rsidRPr="00711557" w:rsidRDefault="00711557" w:rsidP="00711557">
            <w:pPr>
              <w:spacing w:after="0" w:line="259" w:lineRule="auto"/>
              <w:ind w:left="0" w:firstLine="0"/>
              <w:rPr>
                <w:sz w:val="20"/>
                <w:szCs w:val="20"/>
              </w:rPr>
            </w:pPr>
            <w:r w:rsidRPr="00711557">
              <w:rPr>
                <w:rFonts w:eastAsia="Calibri" w:cs="Calibri"/>
                <w:sz w:val="20"/>
                <w:szCs w:val="20"/>
              </w:rPr>
              <w:t>Male</w:t>
            </w:r>
          </w:p>
        </w:tc>
        <w:tc>
          <w:tcPr>
            <w:tcW w:w="828" w:type="dxa"/>
          </w:tcPr>
          <w:p w14:paraId="5C61B7C1" w14:textId="77777777" w:rsidR="00EF0DAC" w:rsidRDefault="002D46E0" w:rsidP="00711557">
            <w:pPr>
              <w:spacing w:after="0" w:line="259" w:lineRule="auto"/>
              <w:ind w:left="-75" w:firstLine="0"/>
              <w:jc w:val="center"/>
              <w:rPr>
                <w:sz w:val="20"/>
                <w:szCs w:val="20"/>
              </w:rPr>
            </w:pPr>
            <w:r>
              <w:rPr>
                <w:sz w:val="20"/>
                <w:szCs w:val="20"/>
              </w:rPr>
              <w:t>83.9%</w:t>
            </w:r>
          </w:p>
          <w:p w14:paraId="6FC5489C" w14:textId="6E916F24" w:rsidR="00711557" w:rsidRPr="00711557" w:rsidRDefault="002D46E0" w:rsidP="00711557">
            <w:pPr>
              <w:spacing w:after="0" w:line="259" w:lineRule="auto"/>
              <w:ind w:left="-75" w:firstLine="0"/>
              <w:jc w:val="center"/>
              <w:rPr>
                <w:sz w:val="20"/>
                <w:szCs w:val="20"/>
              </w:rPr>
            </w:pPr>
            <w:r>
              <w:rPr>
                <w:sz w:val="20"/>
                <w:szCs w:val="20"/>
              </w:rPr>
              <w:t>16.1%</w:t>
            </w:r>
          </w:p>
        </w:tc>
        <w:tc>
          <w:tcPr>
            <w:tcW w:w="1120" w:type="dxa"/>
          </w:tcPr>
          <w:p w14:paraId="6435EAD6" w14:textId="3C7C986F" w:rsidR="008C336F" w:rsidRPr="00711557" w:rsidRDefault="00554E00" w:rsidP="008C336F">
            <w:pPr>
              <w:spacing w:after="0" w:line="259" w:lineRule="auto"/>
              <w:ind w:left="365" w:right="264" w:firstLine="0"/>
              <w:jc w:val="center"/>
              <w:rPr>
                <w:sz w:val="20"/>
                <w:szCs w:val="20"/>
              </w:rPr>
            </w:pPr>
            <w:r>
              <w:rPr>
                <w:sz w:val="20"/>
                <w:szCs w:val="20"/>
              </w:rPr>
              <w:t>1</w:t>
            </w:r>
            <w:r w:rsidR="000C04A8">
              <w:rPr>
                <w:sz w:val="20"/>
                <w:szCs w:val="20"/>
              </w:rPr>
              <w:t>25</w:t>
            </w:r>
          </w:p>
          <w:p w14:paraId="7E7F87E6" w14:textId="12F0A255" w:rsidR="00831BC7" w:rsidRPr="00711557" w:rsidRDefault="000C04A8" w:rsidP="00711557">
            <w:pPr>
              <w:spacing w:after="0" w:line="259" w:lineRule="auto"/>
              <w:ind w:left="365" w:right="264" w:firstLine="0"/>
              <w:jc w:val="center"/>
              <w:rPr>
                <w:sz w:val="20"/>
                <w:szCs w:val="20"/>
              </w:rPr>
            </w:pPr>
            <w:r>
              <w:rPr>
                <w:sz w:val="20"/>
                <w:szCs w:val="20"/>
              </w:rPr>
              <w:t>24</w:t>
            </w:r>
          </w:p>
        </w:tc>
        <w:tc>
          <w:tcPr>
            <w:tcW w:w="700" w:type="dxa"/>
          </w:tcPr>
          <w:p w14:paraId="7C68CBC9" w14:textId="34905FB6" w:rsidR="00711557" w:rsidRDefault="00BE5035" w:rsidP="00711557">
            <w:pPr>
              <w:spacing w:after="0" w:line="259" w:lineRule="auto"/>
              <w:ind w:left="75" w:firstLine="0"/>
              <w:jc w:val="center"/>
              <w:rPr>
                <w:sz w:val="20"/>
                <w:szCs w:val="20"/>
              </w:rPr>
            </w:pPr>
            <w:r>
              <w:rPr>
                <w:sz w:val="20"/>
                <w:szCs w:val="20"/>
              </w:rPr>
              <w:t>7</w:t>
            </w:r>
            <w:r w:rsidR="002D46E0">
              <w:rPr>
                <w:sz w:val="20"/>
                <w:szCs w:val="20"/>
              </w:rPr>
              <w:t>3</w:t>
            </w:r>
            <w:r>
              <w:rPr>
                <w:sz w:val="20"/>
                <w:szCs w:val="20"/>
              </w:rPr>
              <w:t>.8</w:t>
            </w:r>
          </w:p>
          <w:p w14:paraId="3596C3FD" w14:textId="21B491E0" w:rsidR="00BE5035" w:rsidRPr="00711557" w:rsidRDefault="00BE5035" w:rsidP="00711557">
            <w:pPr>
              <w:spacing w:after="0" w:line="259" w:lineRule="auto"/>
              <w:ind w:left="75" w:firstLine="0"/>
              <w:jc w:val="center"/>
              <w:rPr>
                <w:sz w:val="20"/>
                <w:szCs w:val="20"/>
              </w:rPr>
            </w:pPr>
            <w:r>
              <w:rPr>
                <w:sz w:val="20"/>
                <w:szCs w:val="20"/>
              </w:rPr>
              <w:t>2</w:t>
            </w:r>
            <w:r w:rsidR="002D46E0">
              <w:rPr>
                <w:sz w:val="20"/>
                <w:szCs w:val="20"/>
              </w:rPr>
              <w:t>6</w:t>
            </w:r>
            <w:r>
              <w:rPr>
                <w:sz w:val="20"/>
                <w:szCs w:val="20"/>
              </w:rPr>
              <w:t>.2</w:t>
            </w:r>
          </w:p>
        </w:tc>
        <w:tc>
          <w:tcPr>
            <w:tcW w:w="1134" w:type="dxa"/>
          </w:tcPr>
          <w:p w14:paraId="6566802B" w14:textId="77777777" w:rsidR="00EF0DAC" w:rsidRDefault="000C04A8" w:rsidP="00711557">
            <w:pPr>
              <w:spacing w:after="0" w:line="259" w:lineRule="auto"/>
              <w:ind w:left="87" w:firstLine="0"/>
              <w:jc w:val="center"/>
              <w:rPr>
                <w:sz w:val="20"/>
                <w:szCs w:val="20"/>
              </w:rPr>
            </w:pPr>
            <w:r>
              <w:rPr>
                <w:sz w:val="20"/>
                <w:szCs w:val="20"/>
              </w:rPr>
              <w:t>110</w:t>
            </w:r>
          </w:p>
          <w:p w14:paraId="613C27F1" w14:textId="2BD354BC" w:rsidR="00554E00" w:rsidRPr="00711557" w:rsidRDefault="000C04A8" w:rsidP="00711557">
            <w:pPr>
              <w:spacing w:after="0" w:line="259" w:lineRule="auto"/>
              <w:ind w:left="87" w:firstLine="0"/>
              <w:jc w:val="center"/>
              <w:rPr>
                <w:sz w:val="20"/>
                <w:szCs w:val="20"/>
              </w:rPr>
            </w:pPr>
            <w:r>
              <w:rPr>
                <w:sz w:val="20"/>
                <w:szCs w:val="20"/>
              </w:rPr>
              <w:t>39</w:t>
            </w:r>
          </w:p>
        </w:tc>
        <w:tc>
          <w:tcPr>
            <w:tcW w:w="709" w:type="dxa"/>
          </w:tcPr>
          <w:p w14:paraId="39B461C3" w14:textId="27DB8DEE" w:rsidR="00711557" w:rsidRDefault="002D46E0" w:rsidP="00711557">
            <w:pPr>
              <w:spacing w:after="0" w:line="259" w:lineRule="auto"/>
              <w:ind w:left="89" w:firstLine="0"/>
              <w:jc w:val="center"/>
              <w:rPr>
                <w:sz w:val="20"/>
                <w:szCs w:val="20"/>
              </w:rPr>
            </w:pPr>
            <w:r>
              <w:rPr>
                <w:sz w:val="20"/>
                <w:szCs w:val="20"/>
              </w:rPr>
              <w:t>68</w:t>
            </w:r>
            <w:r w:rsidR="00BE5035">
              <w:rPr>
                <w:sz w:val="20"/>
                <w:szCs w:val="20"/>
              </w:rPr>
              <w:t>.7</w:t>
            </w:r>
          </w:p>
          <w:p w14:paraId="1C8F113E" w14:textId="56EF4632" w:rsidR="00BE5035" w:rsidRPr="00711557" w:rsidRDefault="002D46E0" w:rsidP="00711557">
            <w:pPr>
              <w:spacing w:after="0" w:line="259" w:lineRule="auto"/>
              <w:ind w:left="89" w:firstLine="0"/>
              <w:jc w:val="center"/>
              <w:rPr>
                <w:sz w:val="20"/>
                <w:szCs w:val="20"/>
              </w:rPr>
            </w:pPr>
            <w:r>
              <w:rPr>
                <w:sz w:val="20"/>
                <w:szCs w:val="20"/>
              </w:rPr>
              <w:t>31.3</w:t>
            </w:r>
          </w:p>
        </w:tc>
        <w:tc>
          <w:tcPr>
            <w:tcW w:w="1276" w:type="dxa"/>
          </w:tcPr>
          <w:p w14:paraId="0F43F13C" w14:textId="40393049" w:rsidR="00831BC7" w:rsidRDefault="000C04A8" w:rsidP="00711557">
            <w:pPr>
              <w:spacing w:after="0" w:line="259" w:lineRule="auto"/>
              <w:ind w:left="102" w:firstLine="0"/>
              <w:jc w:val="center"/>
              <w:rPr>
                <w:sz w:val="20"/>
                <w:szCs w:val="20"/>
              </w:rPr>
            </w:pPr>
            <w:r>
              <w:rPr>
                <w:sz w:val="20"/>
                <w:szCs w:val="20"/>
              </w:rPr>
              <w:t>10</w:t>
            </w:r>
            <w:r w:rsidR="00554E00">
              <w:rPr>
                <w:sz w:val="20"/>
                <w:szCs w:val="20"/>
              </w:rPr>
              <w:t>3</w:t>
            </w:r>
          </w:p>
          <w:p w14:paraId="71182B3D" w14:textId="6CFE2620" w:rsidR="00554E00" w:rsidRPr="00711557" w:rsidRDefault="000C04A8" w:rsidP="00711557">
            <w:pPr>
              <w:spacing w:after="0" w:line="259" w:lineRule="auto"/>
              <w:ind w:left="102" w:firstLine="0"/>
              <w:jc w:val="center"/>
              <w:rPr>
                <w:sz w:val="20"/>
                <w:szCs w:val="20"/>
              </w:rPr>
            </w:pPr>
            <w:r>
              <w:rPr>
                <w:sz w:val="20"/>
                <w:szCs w:val="20"/>
              </w:rPr>
              <w:t>47</w:t>
            </w:r>
          </w:p>
        </w:tc>
        <w:tc>
          <w:tcPr>
            <w:tcW w:w="850" w:type="dxa"/>
          </w:tcPr>
          <w:p w14:paraId="0C72B6A4" w14:textId="22E69CA2" w:rsidR="00711557" w:rsidRDefault="00BE5035" w:rsidP="00711557">
            <w:pPr>
              <w:spacing w:after="0" w:line="259" w:lineRule="auto"/>
              <w:ind w:left="75" w:firstLine="0"/>
              <w:jc w:val="center"/>
              <w:rPr>
                <w:sz w:val="20"/>
                <w:szCs w:val="20"/>
              </w:rPr>
            </w:pPr>
            <w:r>
              <w:rPr>
                <w:sz w:val="20"/>
                <w:szCs w:val="20"/>
              </w:rPr>
              <w:t>5</w:t>
            </w:r>
            <w:r w:rsidR="002D46E0">
              <w:rPr>
                <w:sz w:val="20"/>
                <w:szCs w:val="20"/>
              </w:rPr>
              <w:t>6</w:t>
            </w:r>
            <w:r>
              <w:rPr>
                <w:sz w:val="20"/>
                <w:szCs w:val="20"/>
              </w:rPr>
              <w:t>.</w:t>
            </w:r>
            <w:r w:rsidR="002D46E0">
              <w:rPr>
                <w:sz w:val="20"/>
                <w:szCs w:val="20"/>
              </w:rPr>
              <w:t>7</w:t>
            </w:r>
          </w:p>
          <w:p w14:paraId="71343B30" w14:textId="013CB20E" w:rsidR="00BE5035" w:rsidRPr="00711557" w:rsidRDefault="002D46E0" w:rsidP="00711557">
            <w:pPr>
              <w:spacing w:after="0" w:line="259" w:lineRule="auto"/>
              <w:ind w:left="75" w:firstLine="0"/>
              <w:jc w:val="center"/>
              <w:rPr>
                <w:sz w:val="20"/>
                <w:szCs w:val="20"/>
              </w:rPr>
            </w:pPr>
            <w:r>
              <w:rPr>
                <w:sz w:val="20"/>
                <w:szCs w:val="20"/>
              </w:rPr>
              <w:t>43</w:t>
            </w:r>
            <w:r w:rsidR="00BE5035">
              <w:rPr>
                <w:sz w:val="20"/>
                <w:szCs w:val="20"/>
              </w:rPr>
              <w:t>.</w:t>
            </w:r>
            <w:r>
              <w:rPr>
                <w:sz w:val="20"/>
                <w:szCs w:val="20"/>
              </w:rPr>
              <w:t>3</w:t>
            </w:r>
          </w:p>
        </w:tc>
        <w:tc>
          <w:tcPr>
            <w:tcW w:w="1134" w:type="dxa"/>
          </w:tcPr>
          <w:p w14:paraId="1BDAD5E6" w14:textId="77777777" w:rsidR="00EF0DAC" w:rsidRDefault="000C04A8" w:rsidP="00711557">
            <w:pPr>
              <w:spacing w:after="0" w:line="259" w:lineRule="auto"/>
              <w:ind w:left="102" w:firstLine="0"/>
              <w:jc w:val="center"/>
              <w:rPr>
                <w:sz w:val="20"/>
                <w:szCs w:val="20"/>
              </w:rPr>
            </w:pPr>
            <w:r>
              <w:rPr>
                <w:sz w:val="20"/>
                <w:szCs w:val="20"/>
              </w:rPr>
              <w:t>85</w:t>
            </w:r>
          </w:p>
          <w:p w14:paraId="6716281D" w14:textId="284FE397" w:rsidR="00554E00" w:rsidRPr="00711557" w:rsidRDefault="000C04A8" w:rsidP="00711557">
            <w:pPr>
              <w:spacing w:after="0" w:line="259" w:lineRule="auto"/>
              <w:ind w:left="102" w:firstLine="0"/>
              <w:jc w:val="center"/>
              <w:rPr>
                <w:sz w:val="20"/>
                <w:szCs w:val="20"/>
              </w:rPr>
            </w:pPr>
            <w:r>
              <w:rPr>
                <w:sz w:val="20"/>
                <w:szCs w:val="20"/>
              </w:rPr>
              <w:t>65</w:t>
            </w:r>
          </w:p>
        </w:tc>
      </w:tr>
    </w:tbl>
    <w:p w14:paraId="6755D626" w14:textId="500ED527" w:rsidR="00452C6E" w:rsidRPr="00C310FE" w:rsidRDefault="00C06657" w:rsidP="00452C6E">
      <w:pPr>
        <w:ind w:left="0" w:firstLine="0"/>
        <w:rPr>
          <w:sz w:val="20"/>
          <w:szCs w:val="20"/>
        </w:rPr>
      </w:pPr>
      <w:r w:rsidRPr="00C310FE">
        <w:rPr>
          <w:sz w:val="20"/>
          <w:szCs w:val="20"/>
        </w:rPr>
        <w:t>Total Proportions</w:t>
      </w:r>
      <w:r w:rsidR="00DC2641">
        <w:rPr>
          <w:sz w:val="20"/>
          <w:szCs w:val="20"/>
        </w:rPr>
        <w:t xml:space="preserve"> (All)</w:t>
      </w:r>
      <w:r w:rsidR="009C581A" w:rsidRPr="00C310FE">
        <w:rPr>
          <w:sz w:val="20"/>
          <w:szCs w:val="20"/>
        </w:rPr>
        <w:t xml:space="preserve"> – Female</w:t>
      </w:r>
      <w:r w:rsidR="00BE5035">
        <w:rPr>
          <w:sz w:val="20"/>
          <w:szCs w:val="20"/>
        </w:rPr>
        <w:t xml:space="preserve"> </w:t>
      </w:r>
      <w:r w:rsidR="000C04A8">
        <w:rPr>
          <w:sz w:val="20"/>
          <w:szCs w:val="20"/>
        </w:rPr>
        <w:t>70.8</w:t>
      </w:r>
      <w:r w:rsidR="009C581A" w:rsidRPr="00C310FE">
        <w:rPr>
          <w:sz w:val="20"/>
          <w:szCs w:val="20"/>
        </w:rPr>
        <w:t xml:space="preserve">%, Male </w:t>
      </w:r>
      <w:r w:rsidR="000C04A8">
        <w:rPr>
          <w:sz w:val="20"/>
          <w:szCs w:val="20"/>
        </w:rPr>
        <w:t>29.2</w:t>
      </w:r>
      <w:r w:rsidR="009C581A" w:rsidRPr="00C310FE">
        <w:rPr>
          <w:sz w:val="20"/>
          <w:szCs w:val="20"/>
        </w:rPr>
        <w:t>%</w:t>
      </w:r>
    </w:p>
    <w:p w14:paraId="3DC38547" w14:textId="522DDAEE" w:rsidR="00E4659D" w:rsidRDefault="00E4659D" w:rsidP="00452C6E">
      <w:pPr>
        <w:ind w:left="0" w:firstLine="0"/>
        <w:rPr>
          <w:b/>
          <w:bCs/>
          <w:sz w:val="20"/>
          <w:szCs w:val="20"/>
        </w:rPr>
      </w:pPr>
    </w:p>
    <w:p w14:paraId="4434B4CD" w14:textId="358AF53A" w:rsidR="00156451" w:rsidRPr="005D3281" w:rsidRDefault="005D3281" w:rsidP="00452C6E">
      <w:pPr>
        <w:ind w:left="0" w:firstLine="0"/>
        <w:rPr>
          <w:sz w:val="20"/>
          <w:szCs w:val="20"/>
        </w:rPr>
      </w:pPr>
      <w:r>
        <w:rPr>
          <w:sz w:val="20"/>
          <w:szCs w:val="20"/>
        </w:rPr>
        <w:t xml:space="preserve">To </w:t>
      </w:r>
      <w:r w:rsidR="00CD3EB1">
        <w:rPr>
          <w:sz w:val="20"/>
          <w:szCs w:val="20"/>
        </w:rPr>
        <w:t xml:space="preserve">further </w:t>
      </w:r>
      <w:r>
        <w:rPr>
          <w:sz w:val="20"/>
          <w:szCs w:val="20"/>
        </w:rPr>
        <w:t>support th</w:t>
      </w:r>
      <w:r w:rsidR="009E6A73">
        <w:rPr>
          <w:sz w:val="20"/>
          <w:szCs w:val="20"/>
        </w:rPr>
        <w:t>e Gender Pay Gap report</w:t>
      </w:r>
      <w:r w:rsidR="00D75880">
        <w:rPr>
          <w:sz w:val="20"/>
          <w:szCs w:val="20"/>
        </w:rPr>
        <w:t xml:space="preserve">, </w:t>
      </w:r>
      <w:r w:rsidR="00AB7826">
        <w:rPr>
          <w:sz w:val="20"/>
          <w:szCs w:val="20"/>
        </w:rPr>
        <w:t xml:space="preserve">the Trust have </w:t>
      </w:r>
      <w:r w:rsidR="00CA0F4B">
        <w:rPr>
          <w:sz w:val="20"/>
          <w:szCs w:val="20"/>
        </w:rPr>
        <w:t>added</w:t>
      </w:r>
      <w:r w:rsidR="00D75880">
        <w:rPr>
          <w:sz w:val="20"/>
          <w:szCs w:val="20"/>
        </w:rPr>
        <w:t xml:space="preserve"> </w:t>
      </w:r>
      <w:r w:rsidR="00CA0F4B">
        <w:rPr>
          <w:sz w:val="20"/>
          <w:szCs w:val="20"/>
        </w:rPr>
        <w:t xml:space="preserve">a </w:t>
      </w:r>
      <w:r w:rsidR="00D75880">
        <w:rPr>
          <w:sz w:val="20"/>
          <w:szCs w:val="20"/>
        </w:rPr>
        <w:t xml:space="preserve">separate </w:t>
      </w:r>
      <w:r w:rsidR="00CA0F4B">
        <w:rPr>
          <w:sz w:val="20"/>
          <w:szCs w:val="20"/>
        </w:rPr>
        <w:t xml:space="preserve">breakdown </w:t>
      </w:r>
      <w:r w:rsidR="00D75880">
        <w:rPr>
          <w:sz w:val="20"/>
          <w:szCs w:val="20"/>
        </w:rPr>
        <w:t>for</w:t>
      </w:r>
      <w:r w:rsidR="00CD3EB1">
        <w:rPr>
          <w:sz w:val="20"/>
          <w:szCs w:val="20"/>
        </w:rPr>
        <w:t xml:space="preserve"> </w:t>
      </w:r>
      <w:r w:rsidR="00661F4D">
        <w:rPr>
          <w:sz w:val="20"/>
          <w:szCs w:val="20"/>
        </w:rPr>
        <w:t xml:space="preserve">both </w:t>
      </w:r>
      <w:r w:rsidR="00CD3EB1">
        <w:rPr>
          <w:sz w:val="20"/>
          <w:szCs w:val="20"/>
        </w:rPr>
        <w:t>Associate Professionals and Teachers.</w:t>
      </w:r>
      <w:r w:rsidR="00D75880">
        <w:rPr>
          <w:sz w:val="20"/>
          <w:szCs w:val="20"/>
        </w:rPr>
        <w:t xml:space="preserve"> </w:t>
      </w:r>
    </w:p>
    <w:p w14:paraId="34C14285" w14:textId="77777777" w:rsidR="00156451" w:rsidRPr="00156451" w:rsidRDefault="00156451" w:rsidP="00452C6E">
      <w:pPr>
        <w:ind w:left="0" w:firstLine="0"/>
        <w:rPr>
          <w:sz w:val="20"/>
          <w:szCs w:val="20"/>
        </w:rPr>
      </w:pPr>
    </w:p>
    <w:p w14:paraId="32BA8584" w14:textId="285494E7" w:rsidR="00C310FE" w:rsidRPr="00570BF7" w:rsidRDefault="00C310FE" w:rsidP="00A01354">
      <w:pPr>
        <w:pStyle w:val="Heading2"/>
        <w:ind w:left="-5"/>
        <w:rPr>
          <w:bCs/>
          <w:sz w:val="20"/>
          <w:szCs w:val="20"/>
        </w:rPr>
      </w:pPr>
      <w:r w:rsidRPr="00711557">
        <w:rPr>
          <w:sz w:val="20"/>
          <w:szCs w:val="20"/>
        </w:rPr>
        <w:t>Mean Gender Pay Gap</w:t>
      </w:r>
      <w:r w:rsidRPr="00711557">
        <w:rPr>
          <w:b w:val="0"/>
          <w:sz w:val="20"/>
          <w:szCs w:val="20"/>
        </w:rPr>
        <w:t xml:space="preserve"> </w:t>
      </w:r>
      <w:r w:rsidRPr="00570BF7">
        <w:rPr>
          <w:rFonts w:eastAsia="Calibri" w:cs="Calibri"/>
          <w:bCs/>
          <w:sz w:val="20"/>
          <w:szCs w:val="20"/>
        </w:rPr>
        <w:t>(</w:t>
      </w:r>
      <w:r w:rsidR="008C7710">
        <w:rPr>
          <w:rFonts w:eastAsia="Calibri" w:cs="Calibri"/>
          <w:bCs/>
          <w:sz w:val="20"/>
          <w:szCs w:val="20"/>
        </w:rPr>
        <w:t>Associate Professionals</w:t>
      </w:r>
      <w:r w:rsidRPr="00570BF7">
        <w:rPr>
          <w:rFonts w:eastAsia="Calibri" w:cs="Calibri"/>
          <w:bCs/>
          <w:sz w:val="20"/>
          <w:szCs w:val="20"/>
        </w:rPr>
        <w:t>)</w:t>
      </w:r>
    </w:p>
    <w:p w14:paraId="38A0DFB0" w14:textId="77777777" w:rsidR="00C310FE" w:rsidRPr="00711557" w:rsidRDefault="00C310FE" w:rsidP="00A01354">
      <w:pPr>
        <w:spacing w:after="0" w:line="259" w:lineRule="auto"/>
        <w:ind w:left="360" w:firstLine="0"/>
        <w:rPr>
          <w:sz w:val="20"/>
          <w:szCs w:val="20"/>
        </w:rPr>
      </w:pPr>
      <w:r w:rsidRPr="00711557">
        <w:rPr>
          <w:rFonts w:ascii="Calibri" w:eastAsia="Calibri" w:hAnsi="Calibri" w:cs="Calibri"/>
          <w:sz w:val="20"/>
          <w:szCs w:val="20"/>
        </w:rPr>
        <w:t xml:space="preserve"> </w:t>
      </w:r>
    </w:p>
    <w:p w14:paraId="0EB23F67" w14:textId="03BEB8DB" w:rsidR="00C310FE" w:rsidRPr="00711557" w:rsidRDefault="00C310FE" w:rsidP="00A01354">
      <w:pPr>
        <w:ind w:left="-5" w:right="-1"/>
        <w:rPr>
          <w:sz w:val="20"/>
          <w:szCs w:val="20"/>
        </w:rPr>
      </w:pPr>
      <w:r w:rsidRPr="00711557">
        <w:rPr>
          <w:sz w:val="20"/>
          <w:szCs w:val="20"/>
        </w:rPr>
        <w:t xml:space="preserve">The difference between the mean hourly rate of pay that male and female full pay relevant </w:t>
      </w:r>
      <w:r w:rsidR="009B2504">
        <w:rPr>
          <w:sz w:val="20"/>
          <w:szCs w:val="20"/>
        </w:rPr>
        <w:t>Associate</w:t>
      </w:r>
      <w:r w:rsidR="008C7710">
        <w:rPr>
          <w:sz w:val="20"/>
          <w:szCs w:val="20"/>
        </w:rPr>
        <w:t xml:space="preserve"> Professional </w:t>
      </w:r>
      <w:r w:rsidRPr="00711557">
        <w:rPr>
          <w:sz w:val="20"/>
          <w:szCs w:val="20"/>
        </w:rPr>
        <w:t>employees received is</w:t>
      </w:r>
      <w:r w:rsidR="0057150D">
        <w:rPr>
          <w:sz w:val="20"/>
          <w:szCs w:val="20"/>
        </w:rPr>
        <w:t xml:space="preserve"> 8.4</w:t>
      </w:r>
      <w:r w:rsidR="00831BC7">
        <w:rPr>
          <w:sz w:val="20"/>
          <w:szCs w:val="20"/>
        </w:rPr>
        <w:t xml:space="preserve">% (compared to </w:t>
      </w:r>
      <w:r w:rsidR="008C336F">
        <w:rPr>
          <w:sz w:val="20"/>
          <w:szCs w:val="20"/>
        </w:rPr>
        <w:t xml:space="preserve">9.8% in 2022 and </w:t>
      </w:r>
      <w:r w:rsidR="00831BC7">
        <w:rPr>
          <w:sz w:val="20"/>
          <w:szCs w:val="20"/>
        </w:rPr>
        <w:t>11.0% in 2021).</w:t>
      </w:r>
    </w:p>
    <w:p w14:paraId="67370B70" w14:textId="77777777" w:rsidR="00C310FE" w:rsidRPr="00711557" w:rsidRDefault="00C310FE" w:rsidP="00A01354">
      <w:pPr>
        <w:spacing w:after="6" w:line="259" w:lineRule="auto"/>
        <w:ind w:left="0" w:firstLine="0"/>
        <w:rPr>
          <w:sz w:val="20"/>
          <w:szCs w:val="20"/>
        </w:rPr>
      </w:pPr>
      <w:r w:rsidRPr="00711557">
        <w:rPr>
          <w:sz w:val="20"/>
          <w:szCs w:val="20"/>
        </w:rPr>
        <w:t xml:space="preserve"> </w:t>
      </w:r>
    </w:p>
    <w:p w14:paraId="45BEAA4B" w14:textId="0567F236" w:rsidR="00C310FE" w:rsidRPr="00570BF7" w:rsidRDefault="00C310FE" w:rsidP="00A01354">
      <w:pPr>
        <w:pStyle w:val="Heading2"/>
        <w:ind w:left="-5"/>
        <w:rPr>
          <w:bCs/>
          <w:sz w:val="20"/>
          <w:szCs w:val="20"/>
        </w:rPr>
      </w:pPr>
      <w:r w:rsidRPr="00711557">
        <w:rPr>
          <w:sz w:val="20"/>
          <w:szCs w:val="20"/>
        </w:rPr>
        <w:t>Median Gender Pay Gap</w:t>
      </w:r>
      <w:r w:rsidRPr="00711557">
        <w:rPr>
          <w:rFonts w:ascii="Times New Roman" w:eastAsia="Times New Roman" w:hAnsi="Times New Roman" w:cs="Times New Roman"/>
          <w:sz w:val="20"/>
          <w:szCs w:val="20"/>
        </w:rPr>
        <w:t xml:space="preserve"> </w:t>
      </w:r>
      <w:r w:rsidRPr="00570BF7">
        <w:rPr>
          <w:rFonts w:eastAsia="Calibri" w:cs="Calibri"/>
          <w:bCs/>
          <w:sz w:val="20"/>
          <w:szCs w:val="20"/>
        </w:rPr>
        <w:t>(</w:t>
      </w:r>
      <w:r w:rsidR="00A41EB2">
        <w:rPr>
          <w:rFonts w:eastAsia="Calibri" w:cs="Calibri"/>
          <w:bCs/>
          <w:sz w:val="20"/>
          <w:szCs w:val="20"/>
        </w:rPr>
        <w:t>Associate Professionals</w:t>
      </w:r>
      <w:r w:rsidRPr="00570BF7">
        <w:rPr>
          <w:rFonts w:eastAsia="Calibri" w:cs="Calibri"/>
          <w:bCs/>
          <w:sz w:val="20"/>
          <w:szCs w:val="20"/>
        </w:rPr>
        <w:t>)</w:t>
      </w:r>
    </w:p>
    <w:p w14:paraId="62A97013" w14:textId="77777777" w:rsidR="00C310FE" w:rsidRPr="00711557" w:rsidRDefault="00C310FE" w:rsidP="007F2A82">
      <w:pPr>
        <w:spacing w:after="0" w:line="259" w:lineRule="auto"/>
        <w:ind w:left="0" w:firstLine="0"/>
        <w:rPr>
          <w:sz w:val="20"/>
          <w:szCs w:val="20"/>
        </w:rPr>
      </w:pPr>
      <w:r w:rsidRPr="00711557">
        <w:rPr>
          <w:rFonts w:ascii="Calibri" w:eastAsia="Calibri" w:hAnsi="Calibri" w:cs="Calibri"/>
          <w:sz w:val="20"/>
          <w:szCs w:val="20"/>
        </w:rPr>
        <w:t xml:space="preserve"> </w:t>
      </w:r>
    </w:p>
    <w:p w14:paraId="193D82F7" w14:textId="6A5B9CFF" w:rsidR="00C310FE" w:rsidRPr="00711557" w:rsidRDefault="00C310FE" w:rsidP="00A01354">
      <w:pPr>
        <w:ind w:left="-5" w:right="1106"/>
        <w:rPr>
          <w:sz w:val="20"/>
          <w:szCs w:val="20"/>
        </w:rPr>
      </w:pPr>
      <w:r w:rsidRPr="00711557">
        <w:rPr>
          <w:sz w:val="20"/>
          <w:szCs w:val="20"/>
        </w:rPr>
        <w:lastRenderedPageBreak/>
        <w:t xml:space="preserve">The difference between the median hourly rate of pay that male and female full pay relevant </w:t>
      </w:r>
      <w:r w:rsidR="007F2A82">
        <w:rPr>
          <w:sz w:val="20"/>
          <w:szCs w:val="20"/>
        </w:rPr>
        <w:t xml:space="preserve">Associate Professional </w:t>
      </w:r>
      <w:r w:rsidRPr="00711557">
        <w:rPr>
          <w:sz w:val="20"/>
          <w:szCs w:val="20"/>
        </w:rPr>
        <w:t xml:space="preserve">employees receive is </w:t>
      </w:r>
      <w:r w:rsidR="0057150D">
        <w:rPr>
          <w:sz w:val="20"/>
          <w:szCs w:val="20"/>
        </w:rPr>
        <w:t>8.3</w:t>
      </w:r>
      <w:r w:rsidR="00A41EB2">
        <w:rPr>
          <w:sz w:val="20"/>
          <w:szCs w:val="20"/>
        </w:rPr>
        <w:t>%</w:t>
      </w:r>
      <w:r w:rsidR="00831BC7">
        <w:rPr>
          <w:sz w:val="20"/>
          <w:szCs w:val="20"/>
        </w:rPr>
        <w:t xml:space="preserve"> (compared to </w:t>
      </w:r>
      <w:r w:rsidR="008C336F">
        <w:rPr>
          <w:sz w:val="20"/>
          <w:szCs w:val="20"/>
        </w:rPr>
        <w:t xml:space="preserve">7.6% in 2022 and </w:t>
      </w:r>
      <w:r w:rsidR="00285E26">
        <w:rPr>
          <w:sz w:val="20"/>
          <w:szCs w:val="20"/>
        </w:rPr>
        <w:t>9</w:t>
      </w:r>
      <w:r w:rsidR="00433E2F">
        <w:rPr>
          <w:sz w:val="20"/>
          <w:szCs w:val="20"/>
        </w:rPr>
        <w:t>.</w:t>
      </w:r>
      <w:r w:rsidR="00285E26">
        <w:rPr>
          <w:sz w:val="20"/>
          <w:szCs w:val="20"/>
        </w:rPr>
        <w:t>4</w:t>
      </w:r>
      <w:r w:rsidR="00831BC7">
        <w:rPr>
          <w:sz w:val="20"/>
          <w:szCs w:val="20"/>
        </w:rPr>
        <w:t>% in 2021).</w:t>
      </w:r>
    </w:p>
    <w:p w14:paraId="5F24B731" w14:textId="77777777" w:rsidR="002B5DA5" w:rsidRDefault="00C310FE" w:rsidP="002B5DA5">
      <w:pPr>
        <w:spacing w:after="69" w:line="259" w:lineRule="auto"/>
        <w:ind w:left="0" w:firstLine="0"/>
        <w:rPr>
          <w:sz w:val="20"/>
          <w:szCs w:val="20"/>
        </w:rPr>
      </w:pPr>
      <w:r w:rsidRPr="00711557">
        <w:rPr>
          <w:rFonts w:ascii="Segoe UI" w:eastAsia="Segoe UI" w:hAnsi="Segoe UI" w:cs="Segoe UI"/>
          <w:sz w:val="20"/>
          <w:szCs w:val="20"/>
        </w:rPr>
        <w:t xml:space="preserve"> </w:t>
      </w:r>
    </w:p>
    <w:p w14:paraId="3EC65DED" w14:textId="6DECBFCD" w:rsidR="00C310FE" w:rsidRPr="002B5DA5" w:rsidRDefault="002B5DA5" w:rsidP="002B5DA5">
      <w:pPr>
        <w:spacing w:after="69" w:line="259" w:lineRule="auto"/>
        <w:ind w:left="0" w:firstLine="0"/>
        <w:rPr>
          <w:b/>
          <w:bCs/>
          <w:sz w:val="20"/>
          <w:szCs w:val="20"/>
        </w:rPr>
      </w:pPr>
      <w:r w:rsidRPr="002B5DA5">
        <w:rPr>
          <w:b/>
          <w:bCs/>
          <w:sz w:val="20"/>
          <w:szCs w:val="20"/>
        </w:rPr>
        <w:t>P</w:t>
      </w:r>
      <w:r w:rsidR="00C310FE" w:rsidRPr="002B5DA5">
        <w:rPr>
          <w:b/>
          <w:bCs/>
          <w:sz w:val="20"/>
          <w:szCs w:val="20"/>
        </w:rPr>
        <w:t>roportion of males and females in each Quartile Pay Band</w:t>
      </w:r>
      <w:r w:rsidR="00C310FE" w:rsidRPr="002B5DA5">
        <w:rPr>
          <w:rFonts w:ascii="Times New Roman" w:eastAsia="Times New Roman" w:hAnsi="Times New Roman" w:cs="Times New Roman"/>
          <w:b/>
          <w:bCs/>
          <w:sz w:val="20"/>
          <w:szCs w:val="20"/>
        </w:rPr>
        <w:t xml:space="preserve"> </w:t>
      </w:r>
      <w:r w:rsidR="00C310FE" w:rsidRPr="002B5DA5">
        <w:rPr>
          <w:rFonts w:eastAsia="Calibri" w:cs="Calibri"/>
          <w:b/>
          <w:bCs/>
          <w:sz w:val="20"/>
          <w:szCs w:val="20"/>
        </w:rPr>
        <w:t>(</w:t>
      </w:r>
      <w:r>
        <w:rPr>
          <w:rFonts w:eastAsia="Calibri" w:cs="Calibri"/>
          <w:b/>
          <w:bCs/>
          <w:sz w:val="20"/>
          <w:szCs w:val="20"/>
        </w:rPr>
        <w:t>Associate Professionals</w:t>
      </w:r>
      <w:r w:rsidR="00C310FE" w:rsidRPr="002B5DA5">
        <w:rPr>
          <w:rFonts w:eastAsia="Calibri" w:cs="Calibri"/>
          <w:b/>
          <w:bCs/>
          <w:sz w:val="20"/>
          <w:szCs w:val="20"/>
        </w:rPr>
        <w:t>)</w:t>
      </w:r>
    </w:p>
    <w:p w14:paraId="3E398690" w14:textId="77777777" w:rsidR="00C310FE" w:rsidRDefault="00C310FE" w:rsidP="00452C6E">
      <w:pPr>
        <w:ind w:left="0" w:firstLine="0"/>
        <w:rPr>
          <w:b/>
          <w:bCs/>
          <w:sz w:val="20"/>
          <w:szCs w:val="20"/>
        </w:rPr>
      </w:pPr>
    </w:p>
    <w:tbl>
      <w:tblPr>
        <w:tblStyle w:val="TableGrid"/>
        <w:tblW w:w="90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37" w:type="dxa"/>
          <w:right w:w="99" w:type="dxa"/>
        </w:tblCellMar>
        <w:tblLook w:val="04A0" w:firstRow="1" w:lastRow="0" w:firstColumn="1" w:lastColumn="0" w:noHBand="0" w:noVBand="1"/>
      </w:tblPr>
      <w:tblGrid>
        <w:gridCol w:w="1306"/>
        <w:gridCol w:w="1948"/>
        <w:gridCol w:w="1834"/>
        <w:gridCol w:w="1985"/>
        <w:gridCol w:w="1984"/>
      </w:tblGrid>
      <w:tr w:rsidR="00E4659D" w:rsidRPr="00711557" w14:paraId="59106723" w14:textId="77777777" w:rsidTr="00E84392">
        <w:trPr>
          <w:trHeight w:val="304"/>
        </w:trPr>
        <w:tc>
          <w:tcPr>
            <w:tcW w:w="1306" w:type="dxa"/>
            <w:vMerge w:val="restart"/>
          </w:tcPr>
          <w:p w14:paraId="40FC9F6A" w14:textId="77777777" w:rsidR="00E4659D" w:rsidRPr="00711557" w:rsidRDefault="00E4659D" w:rsidP="00A01354">
            <w:pPr>
              <w:spacing w:after="0" w:line="259" w:lineRule="auto"/>
              <w:ind w:left="0" w:firstLine="0"/>
              <w:rPr>
                <w:sz w:val="20"/>
                <w:szCs w:val="20"/>
              </w:rPr>
            </w:pPr>
            <w:r w:rsidRPr="00711557">
              <w:rPr>
                <w:rFonts w:eastAsia="Calibri" w:cs="Calibri"/>
                <w:b/>
                <w:sz w:val="20"/>
                <w:szCs w:val="20"/>
              </w:rPr>
              <w:t>Gender</w:t>
            </w:r>
          </w:p>
        </w:tc>
        <w:tc>
          <w:tcPr>
            <w:tcW w:w="1948" w:type="dxa"/>
          </w:tcPr>
          <w:p w14:paraId="367C8E7C" w14:textId="77777777" w:rsidR="00E4659D" w:rsidRDefault="00E4659D" w:rsidP="00A01354">
            <w:pPr>
              <w:spacing w:after="0" w:line="259" w:lineRule="auto"/>
              <w:ind w:left="55" w:firstLine="0"/>
              <w:jc w:val="center"/>
              <w:rPr>
                <w:rFonts w:eastAsia="Calibri" w:cs="Calibri"/>
                <w:b/>
                <w:sz w:val="20"/>
                <w:szCs w:val="20"/>
              </w:rPr>
            </w:pPr>
            <w:r w:rsidRPr="00711557">
              <w:rPr>
                <w:rFonts w:eastAsia="Calibri" w:cs="Calibri"/>
                <w:b/>
                <w:sz w:val="20"/>
                <w:szCs w:val="20"/>
              </w:rPr>
              <w:t xml:space="preserve">Lower </w:t>
            </w:r>
          </w:p>
          <w:p w14:paraId="6372F0E1" w14:textId="77777777" w:rsidR="00E4659D" w:rsidRPr="00711557" w:rsidRDefault="00E4659D" w:rsidP="00A01354">
            <w:pPr>
              <w:spacing w:after="0" w:line="259" w:lineRule="auto"/>
              <w:ind w:left="55" w:firstLine="0"/>
              <w:jc w:val="center"/>
              <w:rPr>
                <w:sz w:val="20"/>
                <w:szCs w:val="20"/>
              </w:rPr>
            </w:pPr>
            <w:r w:rsidRPr="00711557">
              <w:rPr>
                <w:rFonts w:eastAsia="Calibri" w:cs="Calibri"/>
                <w:b/>
                <w:sz w:val="20"/>
                <w:szCs w:val="20"/>
              </w:rPr>
              <w:t>Quartile</w:t>
            </w:r>
          </w:p>
        </w:tc>
        <w:tc>
          <w:tcPr>
            <w:tcW w:w="1834" w:type="dxa"/>
          </w:tcPr>
          <w:p w14:paraId="4B8FCCAB" w14:textId="77777777" w:rsidR="00E4659D" w:rsidRPr="00711557" w:rsidRDefault="00E4659D" w:rsidP="00A01354">
            <w:pPr>
              <w:spacing w:after="0" w:line="259" w:lineRule="auto"/>
              <w:ind w:left="8" w:firstLine="0"/>
              <w:jc w:val="center"/>
              <w:rPr>
                <w:sz w:val="20"/>
                <w:szCs w:val="20"/>
              </w:rPr>
            </w:pPr>
            <w:r w:rsidRPr="00711557">
              <w:rPr>
                <w:rFonts w:eastAsia="Calibri" w:cs="Calibri"/>
                <w:b/>
                <w:sz w:val="20"/>
                <w:szCs w:val="20"/>
              </w:rPr>
              <w:t>Lower Middle Quartile</w:t>
            </w:r>
          </w:p>
        </w:tc>
        <w:tc>
          <w:tcPr>
            <w:tcW w:w="1985" w:type="dxa"/>
          </w:tcPr>
          <w:p w14:paraId="66AB894C" w14:textId="77777777" w:rsidR="00E4659D" w:rsidRPr="00711557" w:rsidRDefault="00E4659D" w:rsidP="00A01354">
            <w:pPr>
              <w:spacing w:after="0" w:line="259" w:lineRule="auto"/>
              <w:ind w:left="7" w:firstLine="0"/>
              <w:jc w:val="center"/>
              <w:rPr>
                <w:sz w:val="20"/>
                <w:szCs w:val="20"/>
              </w:rPr>
            </w:pPr>
            <w:r w:rsidRPr="00711557">
              <w:rPr>
                <w:rFonts w:eastAsia="Calibri" w:cs="Calibri"/>
                <w:b/>
                <w:sz w:val="20"/>
                <w:szCs w:val="20"/>
              </w:rPr>
              <w:t>Middle Upper Quartile</w:t>
            </w:r>
          </w:p>
        </w:tc>
        <w:tc>
          <w:tcPr>
            <w:tcW w:w="1984" w:type="dxa"/>
          </w:tcPr>
          <w:p w14:paraId="5DBF05E5" w14:textId="77777777" w:rsidR="00E4659D" w:rsidRDefault="00E4659D" w:rsidP="00A01354">
            <w:pPr>
              <w:spacing w:after="0" w:line="259" w:lineRule="auto"/>
              <w:ind w:left="69" w:firstLine="0"/>
              <w:jc w:val="center"/>
              <w:rPr>
                <w:rFonts w:eastAsia="Calibri" w:cs="Calibri"/>
                <w:b/>
                <w:sz w:val="20"/>
                <w:szCs w:val="20"/>
              </w:rPr>
            </w:pPr>
            <w:r w:rsidRPr="00711557">
              <w:rPr>
                <w:rFonts w:eastAsia="Calibri" w:cs="Calibri"/>
                <w:b/>
                <w:sz w:val="20"/>
                <w:szCs w:val="20"/>
              </w:rPr>
              <w:t xml:space="preserve">Upper </w:t>
            </w:r>
          </w:p>
          <w:p w14:paraId="04520181" w14:textId="77777777" w:rsidR="00E4659D" w:rsidRPr="00711557" w:rsidRDefault="00E4659D" w:rsidP="00A01354">
            <w:pPr>
              <w:spacing w:after="0" w:line="259" w:lineRule="auto"/>
              <w:ind w:left="69" w:firstLine="0"/>
              <w:jc w:val="center"/>
              <w:rPr>
                <w:sz w:val="20"/>
                <w:szCs w:val="20"/>
              </w:rPr>
            </w:pPr>
            <w:r w:rsidRPr="00711557">
              <w:rPr>
                <w:rFonts w:eastAsia="Calibri" w:cs="Calibri"/>
                <w:b/>
                <w:sz w:val="20"/>
                <w:szCs w:val="20"/>
              </w:rPr>
              <w:t>Quartile</w:t>
            </w:r>
          </w:p>
        </w:tc>
      </w:tr>
      <w:tr w:rsidR="00A3424A" w:rsidRPr="00711557" w14:paraId="7E06C8AA" w14:textId="77777777" w:rsidTr="00E84392">
        <w:trPr>
          <w:trHeight w:val="311"/>
        </w:trPr>
        <w:tc>
          <w:tcPr>
            <w:tcW w:w="0" w:type="auto"/>
            <w:vMerge/>
          </w:tcPr>
          <w:p w14:paraId="6551892C" w14:textId="77777777" w:rsidR="00A3424A" w:rsidRPr="00711557" w:rsidRDefault="00A3424A" w:rsidP="00A01354">
            <w:pPr>
              <w:spacing w:after="160" w:line="259" w:lineRule="auto"/>
              <w:ind w:left="0" w:firstLine="0"/>
              <w:rPr>
                <w:sz w:val="20"/>
                <w:szCs w:val="20"/>
              </w:rPr>
            </w:pPr>
          </w:p>
        </w:tc>
        <w:tc>
          <w:tcPr>
            <w:tcW w:w="1948" w:type="dxa"/>
          </w:tcPr>
          <w:p w14:paraId="4C87B32A" w14:textId="2B639FC5" w:rsidR="00A3424A" w:rsidRPr="00711557" w:rsidRDefault="00A3424A" w:rsidP="00A01354">
            <w:pPr>
              <w:spacing w:after="0" w:line="259" w:lineRule="auto"/>
              <w:ind w:left="200" w:firstLine="0"/>
              <w:jc w:val="center"/>
              <w:rPr>
                <w:sz w:val="20"/>
                <w:szCs w:val="20"/>
              </w:rPr>
            </w:pPr>
            <w:r w:rsidRPr="00711557">
              <w:rPr>
                <w:rFonts w:eastAsia="Calibri" w:cs="Calibri"/>
                <w:b/>
                <w:sz w:val="20"/>
                <w:szCs w:val="20"/>
              </w:rPr>
              <w:t>%</w:t>
            </w:r>
          </w:p>
        </w:tc>
        <w:tc>
          <w:tcPr>
            <w:tcW w:w="1834" w:type="dxa"/>
          </w:tcPr>
          <w:p w14:paraId="1DADF04E" w14:textId="24569352" w:rsidR="00A3424A" w:rsidRPr="00711557" w:rsidRDefault="00A3424A" w:rsidP="00A01354">
            <w:pPr>
              <w:spacing w:after="0" w:line="259" w:lineRule="auto"/>
              <w:ind w:left="141" w:firstLine="0"/>
              <w:jc w:val="center"/>
              <w:rPr>
                <w:sz w:val="20"/>
                <w:szCs w:val="20"/>
              </w:rPr>
            </w:pPr>
            <w:r w:rsidRPr="00711557">
              <w:rPr>
                <w:rFonts w:eastAsia="Calibri" w:cs="Calibri"/>
                <w:b/>
                <w:sz w:val="20"/>
                <w:szCs w:val="20"/>
              </w:rPr>
              <w:t>%</w:t>
            </w:r>
          </w:p>
        </w:tc>
        <w:tc>
          <w:tcPr>
            <w:tcW w:w="1985" w:type="dxa"/>
          </w:tcPr>
          <w:p w14:paraId="5B868CB2" w14:textId="3F0B7C49" w:rsidR="00A3424A" w:rsidRPr="00711557" w:rsidRDefault="00A3424A" w:rsidP="00A01354">
            <w:pPr>
              <w:spacing w:after="0" w:line="259" w:lineRule="auto"/>
              <w:ind w:left="141" w:firstLine="0"/>
              <w:jc w:val="center"/>
              <w:rPr>
                <w:sz w:val="20"/>
                <w:szCs w:val="20"/>
              </w:rPr>
            </w:pPr>
            <w:r w:rsidRPr="00711557">
              <w:rPr>
                <w:rFonts w:eastAsia="Calibri" w:cs="Calibri"/>
                <w:b/>
                <w:sz w:val="20"/>
                <w:szCs w:val="20"/>
              </w:rPr>
              <w:t>%</w:t>
            </w:r>
          </w:p>
        </w:tc>
        <w:tc>
          <w:tcPr>
            <w:tcW w:w="1984" w:type="dxa"/>
          </w:tcPr>
          <w:p w14:paraId="7EE3A390" w14:textId="777C1000" w:rsidR="00A3424A" w:rsidRPr="00711557" w:rsidRDefault="00A3424A" w:rsidP="00A01354">
            <w:pPr>
              <w:spacing w:after="0" w:line="259" w:lineRule="auto"/>
              <w:ind w:left="81" w:firstLine="0"/>
              <w:jc w:val="center"/>
              <w:rPr>
                <w:sz w:val="20"/>
                <w:szCs w:val="20"/>
              </w:rPr>
            </w:pPr>
            <w:r w:rsidRPr="00711557">
              <w:rPr>
                <w:rFonts w:eastAsia="Calibri" w:cs="Calibri"/>
                <w:b/>
                <w:sz w:val="20"/>
                <w:szCs w:val="20"/>
              </w:rPr>
              <w:t>%</w:t>
            </w:r>
          </w:p>
        </w:tc>
      </w:tr>
      <w:tr w:rsidR="00674857" w:rsidRPr="00711557" w14:paraId="4B083B6F" w14:textId="77777777" w:rsidTr="00E84392">
        <w:trPr>
          <w:trHeight w:val="608"/>
        </w:trPr>
        <w:tc>
          <w:tcPr>
            <w:tcW w:w="1306" w:type="dxa"/>
          </w:tcPr>
          <w:p w14:paraId="654D1D9D" w14:textId="77777777" w:rsidR="00674857" w:rsidRPr="00711557" w:rsidRDefault="00674857" w:rsidP="00A01354">
            <w:pPr>
              <w:spacing w:after="3" w:line="259" w:lineRule="auto"/>
              <w:ind w:left="0" w:firstLine="0"/>
              <w:rPr>
                <w:sz w:val="20"/>
                <w:szCs w:val="20"/>
              </w:rPr>
            </w:pPr>
            <w:r w:rsidRPr="00711557">
              <w:rPr>
                <w:rFonts w:eastAsia="Calibri" w:cs="Calibri"/>
                <w:sz w:val="20"/>
                <w:szCs w:val="20"/>
              </w:rPr>
              <w:t xml:space="preserve">Female </w:t>
            </w:r>
          </w:p>
          <w:p w14:paraId="5A75F39D" w14:textId="77777777" w:rsidR="00674857" w:rsidRPr="00711557" w:rsidRDefault="00674857" w:rsidP="00A01354">
            <w:pPr>
              <w:spacing w:after="0" w:line="259" w:lineRule="auto"/>
              <w:ind w:left="0" w:firstLine="0"/>
              <w:rPr>
                <w:sz w:val="20"/>
                <w:szCs w:val="20"/>
              </w:rPr>
            </w:pPr>
            <w:r w:rsidRPr="00711557">
              <w:rPr>
                <w:rFonts w:eastAsia="Calibri" w:cs="Calibri"/>
                <w:sz w:val="20"/>
                <w:szCs w:val="20"/>
              </w:rPr>
              <w:t>Male</w:t>
            </w:r>
          </w:p>
        </w:tc>
        <w:tc>
          <w:tcPr>
            <w:tcW w:w="1948" w:type="dxa"/>
          </w:tcPr>
          <w:p w14:paraId="1441C695" w14:textId="77777777" w:rsidR="00674857" w:rsidRDefault="0057150D" w:rsidP="003A7C75">
            <w:pPr>
              <w:spacing w:after="0" w:line="259" w:lineRule="auto"/>
              <w:ind w:left="0" w:hanging="75"/>
              <w:jc w:val="center"/>
              <w:rPr>
                <w:sz w:val="20"/>
                <w:szCs w:val="20"/>
              </w:rPr>
            </w:pPr>
            <w:r>
              <w:rPr>
                <w:sz w:val="20"/>
                <w:szCs w:val="20"/>
              </w:rPr>
              <w:t>84.9</w:t>
            </w:r>
          </w:p>
          <w:p w14:paraId="75619C69" w14:textId="33178278" w:rsidR="0057150D" w:rsidRPr="00711557" w:rsidRDefault="0057150D" w:rsidP="003A7C75">
            <w:pPr>
              <w:spacing w:after="0" w:line="259" w:lineRule="auto"/>
              <w:ind w:left="0" w:hanging="75"/>
              <w:jc w:val="center"/>
              <w:rPr>
                <w:sz w:val="20"/>
                <w:szCs w:val="20"/>
              </w:rPr>
            </w:pPr>
            <w:r>
              <w:rPr>
                <w:sz w:val="20"/>
                <w:szCs w:val="20"/>
              </w:rPr>
              <w:t>15.1</w:t>
            </w:r>
          </w:p>
        </w:tc>
        <w:tc>
          <w:tcPr>
            <w:tcW w:w="1834" w:type="dxa"/>
          </w:tcPr>
          <w:p w14:paraId="77E0C1C6" w14:textId="77777777" w:rsidR="00674857" w:rsidRDefault="0057150D" w:rsidP="009F06A6">
            <w:pPr>
              <w:spacing w:after="0" w:line="259" w:lineRule="auto"/>
              <w:ind w:left="87" w:firstLine="0"/>
              <w:jc w:val="center"/>
              <w:rPr>
                <w:sz w:val="20"/>
                <w:szCs w:val="20"/>
              </w:rPr>
            </w:pPr>
            <w:r>
              <w:rPr>
                <w:sz w:val="20"/>
                <w:szCs w:val="20"/>
              </w:rPr>
              <w:t>82.4</w:t>
            </w:r>
          </w:p>
          <w:p w14:paraId="544138D0" w14:textId="0EF26C0B" w:rsidR="0057150D" w:rsidRPr="00711557" w:rsidRDefault="0057150D" w:rsidP="009F06A6">
            <w:pPr>
              <w:spacing w:after="0" w:line="259" w:lineRule="auto"/>
              <w:ind w:left="87" w:firstLine="0"/>
              <w:jc w:val="center"/>
              <w:rPr>
                <w:sz w:val="20"/>
                <w:szCs w:val="20"/>
              </w:rPr>
            </w:pPr>
            <w:r>
              <w:rPr>
                <w:sz w:val="20"/>
                <w:szCs w:val="20"/>
              </w:rPr>
              <w:t>17.6</w:t>
            </w:r>
          </w:p>
        </w:tc>
        <w:tc>
          <w:tcPr>
            <w:tcW w:w="1985" w:type="dxa"/>
          </w:tcPr>
          <w:p w14:paraId="13FC9208" w14:textId="77777777" w:rsidR="00674857" w:rsidRDefault="0057150D" w:rsidP="00BC665F">
            <w:pPr>
              <w:spacing w:after="0" w:line="259" w:lineRule="auto"/>
              <w:ind w:left="89" w:firstLine="0"/>
              <w:jc w:val="center"/>
              <w:rPr>
                <w:sz w:val="20"/>
                <w:szCs w:val="20"/>
              </w:rPr>
            </w:pPr>
            <w:r>
              <w:rPr>
                <w:sz w:val="20"/>
                <w:szCs w:val="20"/>
              </w:rPr>
              <w:t>78.1</w:t>
            </w:r>
          </w:p>
          <w:p w14:paraId="48D3A165" w14:textId="6FEC15D8" w:rsidR="0057150D" w:rsidRPr="00711557" w:rsidRDefault="0057150D" w:rsidP="00BC665F">
            <w:pPr>
              <w:spacing w:after="0" w:line="259" w:lineRule="auto"/>
              <w:ind w:left="89" w:firstLine="0"/>
              <w:jc w:val="center"/>
              <w:rPr>
                <w:sz w:val="20"/>
                <w:szCs w:val="20"/>
              </w:rPr>
            </w:pPr>
            <w:r>
              <w:rPr>
                <w:sz w:val="20"/>
                <w:szCs w:val="20"/>
              </w:rPr>
              <w:t>21.9</w:t>
            </w:r>
          </w:p>
        </w:tc>
        <w:tc>
          <w:tcPr>
            <w:tcW w:w="1984" w:type="dxa"/>
          </w:tcPr>
          <w:p w14:paraId="1D3E94F3" w14:textId="77777777" w:rsidR="00674857" w:rsidRDefault="0057150D" w:rsidP="00A01354">
            <w:pPr>
              <w:spacing w:after="0" w:line="259" w:lineRule="auto"/>
              <w:ind w:left="102" w:firstLine="0"/>
              <w:jc w:val="center"/>
              <w:rPr>
                <w:sz w:val="20"/>
                <w:szCs w:val="20"/>
              </w:rPr>
            </w:pPr>
            <w:r>
              <w:rPr>
                <w:sz w:val="20"/>
                <w:szCs w:val="20"/>
              </w:rPr>
              <w:t>68.9</w:t>
            </w:r>
          </w:p>
          <w:p w14:paraId="36EA0680" w14:textId="5DB7A447" w:rsidR="0057150D" w:rsidRPr="00711557" w:rsidRDefault="0057150D" w:rsidP="00A01354">
            <w:pPr>
              <w:spacing w:after="0" w:line="259" w:lineRule="auto"/>
              <w:ind w:left="102" w:firstLine="0"/>
              <w:jc w:val="center"/>
              <w:rPr>
                <w:sz w:val="20"/>
                <w:szCs w:val="20"/>
              </w:rPr>
            </w:pPr>
            <w:r>
              <w:rPr>
                <w:sz w:val="20"/>
                <w:szCs w:val="20"/>
              </w:rPr>
              <w:t>31.1</w:t>
            </w:r>
          </w:p>
        </w:tc>
      </w:tr>
    </w:tbl>
    <w:p w14:paraId="330683A9" w14:textId="6A742AE5" w:rsidR="00A3424A" w:rsidRPr="00C310FE" w:rsidRDefault="00A3424A" w:rsidP="00A01354">
      <w:pPr>
        <w:ind w:left="0" w:firstLine="0"/>
        <w:rPr>
          <w:sz w:val="20"/>
          <w:szCs w:val="20"/>
        </w:rPr>
      </w:pPr>
      <w:r w:rsidRPr="00C310FE">
        <w:rPr>
          <w:sz w:val="20"/>
          <w:szCs w:val="20"/>
        </w:rPr>
        <w:t>Total Proportions</w:t>
      </w:r>
      <w:r w:rsidR="00DC2641">
        <w:rPr>
          <w:sz w:val="20"/>
          <w:szCs w:val="20"/>
        </w:rPr>
        <w:t xml:space="preserve"> (Associate Professionals)</w:t>
      </w:r>
      <w:r w:rsidRPr="00C310FE">
        <w:rPr>
          <w:sz w:val="20"/>
          <w:szCs w:val="20"/>
        </w:rPr>
        <w:t xml:space="preserve"> – </w:t>
      </w:r>
      <w:r w:rsidR="0057150D">
        <w:rPr>
          <w:sz w:val="20"/>
          <w:szCs w:val="20"/>
        </w:rPr>
        <w:t>78.6</w:t>
      </w:r>
      <w:r w:rsidR="00831BC7">
        <w:rPr>
          <w:sz w:val="20"/>
          <w:szCs w:val="20"/>
        </w:rPr>
        <w:t xml:space="preserve">% </w:t>
      </w:r>
      <w:r w:rsidR="00EF1B57">
        <w:rPr>
          <w:sz w:val="20"/>
          <w:szCs w:val="20"/>
        </w:rPr>
        <w:t>Female,</w:t>
      </w:r>
      <w:r w:rsidR="002115ED">
        <w:rPr>
          <w:sz w:val="20"/>
          <w:szCs w:val="20"/>
        </w:rPr>
        <w:t xml:space="preserve"> </w:t>
      </w:r>
      <w:r w:rsidR="0057150D">
        <w:rPr>
          <w:sz w:val="20"/>
          <w:szCs w:val="20"/>
        </w:rPr>
        <w:t>21.4</w:t>
      </w:r>
      <w:r w:rsidR="00433E2F">
        <w:rPr>
          <w:sz w:val="20"/>
          <w:szCs w:val="20"/>
        </w:rPr>
        <w:t xml:space="preserve">% Male </w:t>
      </w:r>
      <w:r w:rsidR="00831BC7">
        <w:rPr>
          <w:sz w:val="20"/>
          <w:szCs w:val="20"/>
        </w:rPr>
        <w:t xml:space="preserve">(compared to </w:t>
      </w:r>
      <w:r w:rsidR="001563DB">
        <w:rPr>
          <w:sz w:val="20"/>
          <w:szCs w:val="20"/>
        </w:rPr>
        <w:t xml:space="preserve">2022 </w:t>
      </w:r>
      <w:r w:rsidR="00F0509A">
        <w:rPr>
          <w:sz w:val="20"/>
          <w:szCs w:val="20"/>
        </w:rPr>
        <w:t xml:space="preserve">Female 78.9% Male 21.1% and </w:t>
      </w:r>
      <w:r w:rsidR="00831BC7">
        <w:rPr>
          <w:sz w:val="20"/>
          <w:szCs w:val="20"/>
        </w:rPr>
        <w:t xml:space="preserve">2021 </w:t>
      </w:r>
      <w:r w:rsidRPr="00C310FE">
        <w:rPr>
          <w:sz w:val="20"/>
          <w:szCs w:val="20"/>
        </w:rPr>
        <w:t xml:space="preserve">Female </w:t>
      </w:r>
      <w:r w:rsidR="00DD46D2">
        <w:rPr>
          <w:sz w:val="20"/>
          <w:szCs w:val="20"/>
        </w:rPr>
        <w:t>82.1</w:t>
      </w:r>
      <w:r w:rsidRPr="00C310FE">
        <w:rPr>
          <w:sz w:val="20"/>
          <w:szCs w:val="20"/>
        </w:rPr>
        <w:t xml:space="preserve">%, Male </w:t>
      </w:r>
      <w:r w:rsidR="00DD46D2">
        <w:rPr>
          <w:sz w:val="20"/>
          <w:szCs w:val="20"/>
        </w:rPr>
        <w:t>17.9</w:t>
      </w:r>
      <w:r w:rsidRPr="00C310FE">
        <w:rPr>
          <w:sz w:val="20"/>
          <w:szCs w:val="20"/>
        </w:rPr>
        <w:t>%</w:t>
      </w:r>
      <w:r w:rsidR="00831BC7">
        <w:rPr>
          <w:sz w:val="20"/>
          <w:szCs w:val="20"/>
        </w:rPr>
        <w:t>)</w:t>
      </w:r>
    </w:p>
    <w:p w14:paraId="01B950FC" w14:textId="77777777" w:rsidR="00E4659D" w:rsidRPr="00E4659D" w:rsidRDefault="00E4659D" w:rsidP="00452C6E">
      <w:pPr>
        <w:ind w:left="0" w:firstLine="0"/>
        <w:rPr>
          <w:b/>
          <w:bCs/>
          <w:sz w:val="20"/>
          <w:szCs w:val="20"/>
        </w:rPr>
      </w:pPr>
    </w:p>
    <w:p w14:paraId="7F944A9F" w14:textId="0F31B8C0" w:rsidR="00863C47" w:rsidRPr="00570BF7" w:rsidRDefault="00863C47" w:rsidP="00A01354">
      <w:pPr>
        <w:pStyle w:val="Heading2"/>
        <w:ind w:left="-5"/>
        <w:rPr>
          <w:bCs/>
          <w:sz w:val="20"/>
          <w:szCs w:val="20"/>
        </w:rPr>
      </w:pPr>
      <w:r w:rsidRPr="00711557">
        <w:rPr>
          <w:sz w:val="20"/>
          <w:szCs w:val="20"/>
        </w:rPr>
        <w:t>Mean Gender Pay Gap</w:t>
      </w:r>
      <w:r w:rsidRPr="00711557">
        <w:rPr>
          <w:b w:val="0"/>
          <w:sz w:val="20"/>
          <w:szCs w:val="20"/>
        </w:rPr>
        <w:t xml:space="preserve"> </w:t>
      </w:r>
      <w:r w:rsidRPr="00570BF7">
        <w:rPr>
          <w:rFonts w:eastAsia="Calibri" w:cs="Calibri"/>
          <w:bCs/>
          <w:sz w:val="20"/>
          <w:szCs w:val="20"/>
        </w:rPr>
        <w:t>(</w:t>
      </w:r>
      <w:r>
        <w:rPr>
          <w:rFonts w:eastAsia="Calibri" w:cs="Calibri"/>
          <w:bCs/>
          <w:sz w:val="20"/>
          <w:szCs w:val="20"/>
        </w:rPr>
        <w:t>Teachers</w:t>
      </w:r>
      <w:r w:rsidRPr="00570BF7">
        <w:rPr>
          <w:rFonts w:eastAsia="Calibri" w:cs="Calibri"/>
          <w:bCs/>
          <w:sz w:val="20"/>
          <w:szCs w:val="20"/>
        </w:rPr>
        <w:t>)</w:t>
      </w:r>
    </w:p>
    <w:p w14:paraId="76FFACD2" w14:textId="77777777" w:rsidR="00863C47" w:rsidRPr="00711557" w:rsidRDefault="00863C47" w:rsidP="00A01354">
      <w:pPr>
        <w:spacing w:after="0" w:line="259" w:lineRule="auto"/>
        <w:ind w:left="360" w:firstLine="0"/>
        <w:rPr>
          <w:sz w:val="20"/>
          <w:szCs w:val="20"/>
        </w:rPr>
      </w:pPr>
      <w:r w:rsidRPr="00711557">
        <w:rPr>
          <w:rFonts w:ascii="Calibri" w:eastAsia="Calibri" w:hAnsi="Calibri" w:cs="Calibri"/>
          <w:sz w:val="20"/>
          <w:szCs w:val="20"/>
        </w:rPr>
        <w:t xml:space="preserve"> </w:t>
      </w:r>
    </w:p>
    <w:p w14:paraId="4995E641" w14:textId="650584E4" w:rsidR="00863C47" w:rsidRPr="00711557" w:rsidRDefault="00863C47" w:rsidP="00EF1B57">
      <w:pPr>
        <w:ind w:left="-5" w:right="-1"/>
        <w:rPr>
          <w:sz w:val="20"/>
          <w:szCs w:val="20"/>
        </w:rPr>
      </w:pPr>
      <w:r w:rsidRPr="00711557">
        <w:rPr>
          <w:sz w:val="20"/>
          <w:szCs w:val="20"/>
        </w:rPr>
        <w:t xml:space="preserve">The difference between the mean hourly rate of pay that male and female full pay relevant </w:t>
      </w:r>
      <w:r w:rsidR="004D418D">
        <w:rPr>
          <w:sz w:val="20"/>
          <w:szCs w:val="20"/>
        </w:rPr>
        <w:t>Teacher</w:t>
      </w:r>
      <w:r>
        <w:rPr>
          <w:sz w:val="20"/>
          <w:szCs w:val="20"/>
        </w:rPr>
        <w:t xml:space="preserve"> </w:t>
      </w:r>
      <w:r w:rsidRPr="00711557">
        <w:rPr>
          <w:sz w:val="20"/>
          <w:szCs w:val="20"/>
        </w:rPr>
        <w:t>employees received is</w:t>
      </w:r>
      <w:r w:rsidR="00BA08E3">
        <w:rPr>
          <w:sz w:val="20"/>
          <w:szCs w:val="20"/>
        </w:rPr>
        <w:t xml:space="preserve"> 1</w:t>
      </w:r>
      <w:r w:rsidR="0036760A">
        <w:rPr>
          <w:sz w:val="20"/>
          <w:szCs w:val="20"/>
        </w:rPr>
        <w:t>0</w:t>
      </w:r>
      <w:r w:rsidR="005671E7">
        <w:rPr>
          <w:sz w:val="20"/>
          <w:szCs w:val="20"/>
        </w:rPr>
        <w:t>.</w:t>
      </w:r>
      <w:r w:rsidR="00BA08E3">
        <w:rPr>
          <w:sz w:val="20"/>
          <w:szCs w:val="20"/>
        </w:rPr>
        <w:t>4</w:t>
      </w:r>
      <w:r w:rsidR="00EF1B57">
        <w:rPr>
          <w:sz w:val="20"/>
          <w:szCs w:val="20"/>
        </w:rPr>
        <w:t>%</w:t>
      </w:r>
      <w:r w:rsidRPr="00711557">
        <w:rPr>
          <w:sz w:val="20"/>
          <w:szCs w:val="20"/>
        </w:rPr>
        <w:t xml:space="preserve"> </w:t>
      </w:r>
      <w:r w:rsidR="00EF1B57">
        <w:rPr>
          <w:sz w:val="20"/>
          <w:szCs w:val="20"/>
        </w:rPr>
        <w:t xml:space="preserve">(compared to </w:t>
      </w:r>
      <w:r w:rsidR="002115ED">
        <w:rPr>
          <w:sz w:val="20"/>
          <w:szCs w:val="20"/>
        </w:rPr>
        <w:t xml:space="preserve">12.5% in 2022 and </w:t>
      </w:r>
      <w:r>
        <w:rPr>
          <w:sz w:val="20"/>
          <w:szCs w:val="20"/>
        </w:rPr>
        <w:t>11.0%</w:t>
      </w:r>
      <w:r w:rsidR="00EF1B57">
        <w:rPr>
          <w:sz w:val="20"/>
          <w:szCs w:val="20"/>
        </w:rPr>
        <w:t xml:space="preserve"> in 2021)</w:t>
      </w:r>
      <w:r>
        <w:rPr>
          <w:sz w:val="20"/>
          <w:szCs w:val="20"/>
        </w:rPr>
        <w:t>.</w:t>
      </w:r>
    </w:p>
    <w:p w14:paraId="16AF3018" w14:textId="77777777" w:rsidR="00863C47" w:rsidRPr="00711557" w:rsidRDefault="00863C47" w:rsidP="00A01354">
      <w:pPr>
        <w:spacing w:after="6" w:line="259" w:lineRule="auto"/>
        <w:ind w:left="0" w:firstLine="0"/>
        <w:rPr>
          <w:sz w:val="20"/>
          <w:szCs w:val="20"/>
        </w:rPr>
      </w:pPr>
      <w:r w:rsidRPr="00711557">
        <w:rPr>
          <w:sz w:val="20"/>
          <w:szCs w:val="20"/>
        </w:rPr>
        <w:t xml:space="preserve"> </w:t>
      </w:r>
    </w:p>
    <w:p w14:paraId="59D4D272" w14:textId="12D39888" w:rsidR="00863C47" w:rsidRPr="00570BF7" w:rsidRDefault="00863C47" w:rsidP="00A01354">
      <w:pPr>
        <w:pStyle w:val="Heading2"/>
        <w:ind w:left="-5"/>
        <w:rPr>
          <w:bCs/>
          <w:sz w:val="20"/>
          <w:szCs w:val="20"/>
        </w:rPr>
      </w:pPr>
      <w:r w:rsidRPr="00711557">
        <w:rPr>
          <w:sz w:val="20"/>
          <w:szCs w:val="20"/>
        </w:rPr>
        <w:t>Median Gender Pay Gap</w:t>
      </w:r>
      <w:r w:rsidRPr="00711557">
        <w:rPr>
          <w:rFonts w:ascii="Times New Roman" w:eastAsia="Times New Roman" w:hAnsi="Times New Roman" w:cs="Times New Roman"/>
          <w:sz w:val="20"/>
          <w:szCs w:val="20"/>
        </w:rPr>
        <w:t xml:space="preserve"> </w:t>
      </w:r>
      <w:r w:rsidRPr="00570BF7">
        <w:rPr>
          <w:rFonts w:eastAsia="Calibri" w:cs="Calibri"/>
          <w:bCs/>
          <w:sz w:val="20"/>
          <w:szCs w:val="20"/>
        </w:rPr>
        <w:t>(</w:t>
      </w:r>
      <w:r>
        <w:rPr>
          <w:rFonts w:eastAsia="Calibri" w:cs="Calibri"/>
          <w:bCs/>
          <w:sz w:val="20"/>
          <w:szCs w:val="20"/>
        </w:rPr>
        <w:t>Teachers</w:t>
      </w:r>
      <w:r w:rsidRPr="00570BF7">
        <w:rPr>
          <w:rFonts w:eastAsia="Calibri" w:cs="Calibri"/>
          <w:bCs/>
          <w:sz w:val="20"/>
          <w:szCs w:val="20"/>
        </w:rPr>
        <w:t>)</w:t>
      </w:r>
    </w:p>
    <w:p w14:paraId="549A556D" w14:textId="77777777" w:rsidR="00863C47" w:rsidRPr="00711557" w:rsidRDefault="00863C47" w:rsidP="00A01354">
      <w:pPr>
        <w:spacing w:after="0" w:line="259" w:lineRule="auto"/>
        <w:ind w:left="0" w:firstLine="0"/>
        <w:rPr>
          <w:sz w:val="20"/>
          <w:szCs w:val="20"/>
        </w:rPr>
      </w:pPr>
      <w:r w:rsidRPr="00711557">
        <w:rPr>
          <w:rFonts w:ascii="Calibri" w:eastAsia="Calibri" w:hAnsi="Calibri" w:cs="Calibri"/>
          <w:sz w:val="20"/>
          <w:szCs w:val="20"/>
        </w:rPr>
        <w:t xml:space="preserve"> </w:t>
      </w:r>
    </w:p>
    <w:p w14:paraId="3FCC13A9" w14:textId="115FFF0C" w:rsidR="00863C47" w:rsidRPr="00711557" w:rsidRDefault="00863C47" w:rsidP="00A01354">
      <w:pPr>
        <w:ind w:left="-5" w:right="1106"/>
        <w:rPr>
          <w:sz w:val="20"/>
          <w:szCs w:val="20"/>
        </w:rPr>
      </w:pPr>
      <w:r w:rsidRPr="00711557">
        <w:rPr>
          <w:sz w:val="20"/>
          <w:szCs w:val="20"/>
        </w:rPr>
        <w:t xml:space="preserve">The difference between the median hourly rate of pay that male and female full pay relevant </w:t>
      </w:r>
      <w:r w:rsidR="00A6492B">
        <w:rPr>
          <w:sz w:val="20"/>
          <w:szCs w:val="20"/>
        </w:rPr>
        <w:t xml:space="preserve">Teacher </w:t>
      </w:r>
      <w:r w:rsidRPr="00711557">
        <w:rPr>
          <w:sz w:val="20"/>
          <w:szCs w:val="20"/>
        </w:rPr>
        <w:t xml:space="preserve">employees receive is </w:t>
      </w:r>
      <w:r w:rsidR="0036760A">
        <w:rPr>
          <w:sz w:val="20"/>
          <w:szCs w:val="20"/>
        </w:rPr>
        <w:t>3.5</w:t>
      </w:r>
      <w:r w:rsidR="00EF1B57">
        <w:rPr>
          <w:sz w:val="20"/>
          <w:szCs w:val="20"/>
        </w:rPr>
        <w:t xml:space="preserve">% (compared to </w:t>
      </w:r>
      <w:r w:rsidR="002115ED">
        <w:rPr>
          <w:sz w:val="20"/>
          <w:szCs w:val="20"/>
        </w:rPr>
        <w:t xml:space="preserve">4.3% in 2022 and </w:t>
      </w:r>
      <w:r w:rsidR="00A6492B">
        <w:rPr>
          <w:sz w:val="20"/>
          <w:szCs w:val="20"/>
        </w:rPr>
        <w:t>5.6</w:t>
      </w:r>
      <w:r>
        <w:rPr>
          <w:sz w:val="20"/>
          <w:szCs w:val="20"/>
        </w:rPr>
        <w:t>%</w:t>
      </w:r>
      <w:r w:rsidR="00EF1B57">
        <w:rPr>
          <w:sz w:val="20"/>
          <w:szCs w:val="20"/>
        </w:rPr>
        <w:t xml:space="preserve"> in 2021)</w:t>
      </w:r>
      <w:r>
        <w:rPr>
          <w:sz w:val="20"/>
          <w:szCs w:val="20"/>
        </w:rPr>
        <w:t>.</w:t>
      </w:r>
    </w:p>
    <w:p w14:paraId="131B04CD" w14:textId="77777777" w:rsidR="00863C47" w:rsidRDefault="00863C47" w:rsidP="00A01354">
      <w:pPr>
        <w:spacing w:after="69" w:line="259" w:lineRule="auto"/>
        <w:ind w:left="0" w:firstLine="0"/>
        <w:rPr>
          <w:sz w:val="20"/>
          <w:szCs w:val="20"/>
        </w:rPr>
      </w:pPr>
      <w:r w:rsidRPr="00711557">
        <w:rPr>
          <w:rFonts w:ascii="Segoe UI" w:eastAsia="Segoe UI" w:hAnsi="Segoe UI" w:cs="Segoe UI"/>
          <w:sz w:val="20"/>
          <w:szCs w:val="20"/>
        </w:rPr>
        <w:t xml:space="preserve"> </w:t>
      </w:r>
    </w:p>
    <w:p w14:paraId="0E93EE1D" w14:textId="2941586B" w:rsidR="00863C47" w:rsidRPr="002B5DA5" w:rsidRDefault="00863C47" w:rsidP="00A01354">
      <w:pPr>
        <w:spacing w:after="69" w:line="259" w:lineRule="auto"/>
        <w:ind w:left="0" w:firstLine="0"/>
        <w:rPr>
          <w:b/>
          <w:bCs/>
          <w:sz w:val="20"/>
          <w:szCs w:val="20"/>
        </w:rPr>
      </w:pPr>
      <w:r w:rsidRPr="002B5DA5">
        <w:rPr>
          <w:b/>
          <w:bCs/>
          <w:sz w:val="20"/>
          <w:szCs w:val="20"/>
        </w:rPr>
        <w:t>Proportion of males and females in each Quartile Pay Band</w:t>
      </w:r>
      <w:r w:rsidRPr="002B5DA5">
        <w:rPr>
          <w:rFonts w:ascii="Times New Roman" w:eastAsia="Times New Roman" w:hAnsi="Times New Roman" w:cs="Times New Roman"/>
          <w:b/>
          <w:bCs/>
          <w:sz w:val="20"/>
          <w:szCs w:val="20"/>
        </w:rPr>
        <w:t xml:space="preserve"> </w:t>
      </w:r>
      <w:r w:rsidRPr="002B5DA5">
        <w:rPr>
          <w:rFonts w:eastAsia="Calibri" w:cs="Calibri"/>
          <w:b/>
          <w:bCs/>
          <w:sz w:val="20"/>
          <w:szCs w:val="20"/>
        </w:rPr>
        <w:t>(</w:t>
      </w:r>
      <w:r>
        <w:rPr>
          <w:rFonts w:eastAsia="Calibri" w:cs="Calibri"/>
          <w:b/>
          <w:bCs/>
          <w:sz w:val="20"/>
          <w:szCs w:val="20"/>
        </w:rPr>
        <w:t>Teachers</w:t>
      </w:r>
      <w:r w:rsidRPr="002B5DA5">
        <w:rPr>
          <w:rFonts w:eastAsia="Calibri" w:cs="Calibri"/>
          <w:b/>
          <w:bCs/>
          <w:sz w:val="20"/>
          <w:szCs w:val="20"/>
        </w:rPr>
        <w:t>)</w:t>
      </w:r>
    </w:p>
    <w:p w14:paraId="5C228681" w14:textId="77777777" w:rsidR="00863C47" w:rsidRDefault="00863C47" w:rsidP="00A01354">
      <w:pPr>
        <w:ind w:left="0" w:firstLine="0"/>
        <w:rPr>
          <w:b/>
          <w:bCs/>
          <w:sz w:val="20"/>
          <w:szCs w:val="20"/>
        </w:rPr>
      </w:pPr>
    </w:p>
    <w:tbl>
      <w:tblPr>
        <w:tblStyle w:val="TableGrid"/>
        <w:tblW w:w="90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37" w:type="dxa"/>
          <w:right w:w="99" w:type="dxa"/>
        </w:tblCellMar>
        <w:tblLook w:val="04A0" w:firstRow="1" w:lastRow="0" w:firstColumn="1" w:lastColumn="0" w:noHBand="0" w:noVBand="1"/>
      </w:tblPr>
      <w:tblGrid>
        <w:gridCol w:w="1306"/>
        <w:gridCol w:w="1948"/>
        <w:gridCol w:w="1834"/>
        <w:gridCol w:w="1985"/>
        <w:gridCol w:w="1984"/>
      </w:tblGrid>
      <w:tr w:rsidR="00863C47" w:rsidRPr="00711557" w14:paraId="4341EC2E" w14:textId="77777777" w:rsidTr="00E84392">
        <w:trPr>
          <w:trHeight w:val="304"/>
        </w:trPr>
        <w:tc>
          <w:tcPr>
            <w:tcW w:w="1306" w:type="dxa"/>
            <w:vMerge w:val="restart"/>
          </w:tcPr>
          <w:p w14:paraId="338EF701" w14:textId="77777777" w:rsidR="00863C47" w:rsidRPr="00711557" w:rsidRDefault="00863C47" w:rsidP="00A01354">
            <w:pPr>
              <w:spacing w:after="0" w:line="259" w:lineRule="auto"/>
              <w:ind w:left="0" w:firstLine="0"/>
              <w:rPr>
                <w:sz w:val="20"/>
                <w:szCs w:val="20"/>
              </w:rPr>
            </w:pPr>
            <w:r w:rsidRPr="00711557">
              <w:rPr>
                <w:rFonts w:eastAsia="Calibri" w:cs="Calibri"/>
                <w:b/>
                <w:sz w:val="20"/>
                <w:szCs w:val="20"/>
              </w:rPr>
              <w:t>Gender</w:t>
            </w:r>
          </w:p>
        </w:tc>
        <w:tc>
          <w:tcPr>
            <w:tcW w:w="1948" w:type="dxa"/>
          </w:tcPr>
          <w:p w14:paraId="0EA6A9AC" w14:textId="77777777" w:rsidR="00863C47" w:rsidRDefault="00863C47" w:rsidP="00A01354">
            <w:pPr>
              <w:spacing w:after="0" w:line="259" w:lineRule="auto"/>
              <w:ind w:left="55" w:firstLine="0"/>
              <w:jc w:val="center"/>
              <w:rPr>
                <w:rFonts w:eastAsia="Calibri" w:cs="Calibri"/>
                <w:b/>
                <w:sz w:val="20"/>
                <w:szCs w:val="20"/>
              </w:rPr>
            </w:pPr>
            <w:r w:rsidRPr="00711557">
              <w:rPr>
                <w:rFonts w:eastAsia="Calibri" w:cs="Calibri"/>
                <w:b/>
                <w:sz w:val="20"/>
                <w:szCs w:val="20"/>
              </w:rPr>
              <w:t xml:space="preserve">Lower </w:t>
            </w:r>
          </w:p>
          <w:p w14:paraId="2AC7E9D4" w14:textId="77777777" w:rsidR="00863C47" w:rsidRPr="00711557" w:rsidRDefault="00863C47" w:rsidP="00A01354">
            <w:pPr>
              <w:spacing w:after="0" w:line="259" w:lineRule="auto"/>
              <w:ind w:left="55" w:firstLine="0"/>
              <w:jc w:val="center"/>
              <w:rPr>
                <w:sz w:val="20"/>
                <w:szCs w:val="20"/>
              </w:rPr>
            </w:pPr>
            <w:r w:rsidRPr="00711557">
              <w:rPr>
                <w:rFonts w:eastAsia="Calibri" w:cs="Calibri"/>
                <w:b/>
                <w:sz w:val="20"/>
                <w:szCs w:val="20"/>
              </w:rPr>
              <w:t>Quartile</w:t>
            </w:r>
          </w:p>
        </w:tc>
        <w:tc>
          <w:tcPr>
            <w:tcW w:w="1834" w:type="dxa"/>
          </w:tcPr>
          <w:p w14:paraId="52622249" w14:textId="77777777" w:rsidR="00863C47" w:rsidRPr="00711557" w:rsidRDefault="00863C47" w:rsidP="00A01354">
            <w:pPr>
              <w:spacing w:after="0" w:line="259" w:lineRule="auto"/>
              <w:ind w:left="8" w:firstLine="0"/>
              <w:jc w:val="center"/>
              <w:rPr>
                <w:sz w:val="20"/>
                <w:szCs w:val="20"/>
              </w:rPr>
            </w:pPr>
            <w:r w:rsidRPr="00711557">
              <w:rPr>
                <w:rFonts w:eastAsia="Calibri" w:cs="Calibri"/>
                <w:b/>
                <w:sz w:val="20"/>
                <w:szCs w:val="20"/>
              </w:rPr>
              <w:t>Lower Middle Quartile</w:t>
            </w:r>
          </w:p>
        </w:tc>
        <w:tc>
          <w:tcPr>
            <w:tcW w:w="1985" w:type="dxa"/>
          </w:tcPr>
          <w:p w14:paraId="19CA342C" w14:textId="77777777" w:rsidR="00863C47" w:rsidRPr="00711557" w:rsidRDefault="00863C47" w:rsidP="00A01354">
            <w:pPr>
              <w:spacing w:after="0" w:line="259" w:lineRule="auto"/>
              <w:ind w:left="7" w:firstLine="0"/>
              <w:jc w:val="center"/>
              <w:rPr>
                <w:sz w:val="20"/>
                <w:szCs w:val="20"/>
              </w:rPr>
            </w:pPr>
            <w:r w:rsidRPr="00711557">
              <w:rPr>
                <w:rFonts w:eastAsia="Calibri" w:cs="Calibri"/>
                <w:b/>
                <w:sz w:val="20"/>
                <w:szCs w:val="20"/>
              </w:rPr>
              <w:t>Middle Upper Quartile</w:t>
            </w:r>
          </w:p>
        </w:tc>
        <w:tc>
          <w:tcPr>
            <w:tcW w:w="1984" w:type="dxa"/>
          </w:tcPr>
          <w:p w14:paraId="7D4033CD" w14:textId="77777777" w:rsidR="00863C47" w:rsidRDefault="00863C47" w:rsidP="00A01354">
            <w:pPr>
              <w:spacing w:after="0" w:line="259" w:lineRule="auto"/>
              <w:ind w:left="69" w:firstLine="0"/>
              <w:jc w:val="center"/>
              <w:rPr>
                <w:rFonts w:eastAsia="Calibri" w:cs="Calibri"/>
                <w:b/>
                <w:sz w:val="20"/>
                <w:szCs w:val="20"/>
              </w:rPr>
            </w:pPr>
            <w:r w:rsidRPr="00711557">
              <w:rPr>
                <w:rFonts w:eastAsia="Calibri" w:cs="Calibri"/>
                <w:b/>
                <w:sz w:val="20"/>
                <w:szCs w:val="20"/>
              </w:rPr>
              <w:t xml:space="preserve">Upper </w:t>
            </w:r>
          </w:p>
          <w:p w14:paraId="23104C0A" w14:textId="77777777" w:rsidR="00863C47" w:rsidRPr="00711557" w:rsidRDefault="00863C47" w:rsidP="00A01354">
            <w:pPr>
              <w:spacing w:after="0" w:line="259" w:lineRule="auto"/>
              <w:ind w:left="69" w:firstLine="0"/>
              <w:jc w:val="center"/>
              <w:rPr>
                <w:sz w:val="20"/>
                <w:szCs w:val="20"/>
              </w:rPr>
            </w:pPr>
            <w:r w:rsidRPr="00711557">
              <w:rPr>
                <w:rFonts w:eastAsia="Calibri" w:cs="Calibri"/>
                <w:b/>
                <w:sz w:val="20"/>
                <w:szCs w:val="20"/>
              </w:rPr>
              <w:t>Quartile</w:t>
            </w:r>
          </w:p>
        </w:tc>
      </w:tr>
      <w:tr w:rsidR="00863C47" w:rsidRPr="00711557" w14:paraId="2A863DE9" w14:textId="77777777" w:rsidTr="00E84392">
        <w:trPr>
          <w:trHeight w:val="311"/>
        </w:trPr>
        <w:tc>
          <w:tcPr>
            <w:tcW w:w="0" w:type="auto"/>
            <w:vMerge/>
          </w:tcPr>
          <w:p w14:paraId="530E84AA" w14:textId="77777777" w:rsidR="00863C47" w:rsidRPr="00711557" w:rsidRDefault="00863C47" w:rsidP="00A01354">
            <w:pPr>
              <w:spacing w:after="160" w:line="259" w:lineRule="auto"/>
              <w:ind w:left="0" w:firstLine="0"/>
              <w:rPr>
                <w:sz w:val="20"/>
                <w:szCs w:val="20"/>
              </w:rPr>
            </w:pPr>
          </w:p>
        </w:tc>
        <w:tc>
          <w:tcPr>
            <w:tcW w:w="1948" w:type="dxa"/>
          </w:tcPr>
          <w:p w14:paraId="6F04536F" w14:textId="77777777" w:rsidR="00863C47" w:rsidRPr="00711557" w:rsidRDefault="00863C47" w:rsidP="00A01354">
            <w:pPr>
              <w:spacing w:after="0" w:line="259" w:lineRule="auto"/>
              <w:ind w:left="200" w:firstLine="0"/>
              <w:jc w:val="center"/>
              <w:rPr>
                <w:sz w:val="20"/>
                <w:szCs w:val="20"/>
              </w:rPr>
            </w:pPr>
            <w:r w:rsidRPr="00711557">
              <w:rPr>
                <w:rFonts w:eastAsia="Calibri" w:cs="Calibri"/>
                <w:b/>
                <w:sz w:val="20"/>
                <w:szCs w:val="20"/>
              </w:rPr>
              <w:t>%</w:t>
            </w:r>
          </w:p>
        </w:tc>
        <w:tc>
          <w:tcPr>
            <w:tcW w:w="1834" w:type="dxa"/>
          </w:tcPr>
          <w:p w14:paraId="1401B5D3" w14:textId="77777777" w:rsidR="00863C47" w:rsidRPr="00711557" w:rsidRDefault="00863C47" w:rsidP="00A01354">
            <w:pPr>
              <w:spacing w:after="0" w:line="259" w:lineRule="auto"/>
              <w:ind w:left="141" w:firstLine="0"/>
              <w:jc w:val="center"/>
              <w:rPr>
                <w:sz w:val="20"/>
                <w:szCs w:val="20"/>
              </w:rPr>
            </w:pPr>
            <w:r w:rsidRPr="00711557">
              <w:rPr>
                <w:rFonts w:eastAsia="Calibri" w:cs="Calibri"/>
                <w:b/>
                <w:sz w:val="20"/>
                <w:szCs w:val="20"/>
              </w:rPr>
              <w:t>%</w:t>
            </w:r>
          </w:p>
        </w:tc>
        <w:tc>
          <w:tcPr>
            <w:tcW w:w="1985" w:type="dxa"/>
          </w:tcPr>
          <w:p w14:paraId="20A913BB" w14:textId="77777777" w:rsidR="00863C47" w:rsidRPr="00711557" w:rsidRDefault="00863C47" w:rsidP="00A01354">
            <w:pPr>
              <w:spacing w:after="0" w:line="259" w:lineRule="auto"/>
              <w:ind w:left="141" w:firstLine="0"/>
              <w:jc w:val="center"/>
              <w:rPr>
                <w:sz w:val="20"/>
                <w:szCs w:val="20"/>
              </w:rPr>
            </w:pPr>
            <w:r w:rsidRPr="00711557">
              <w:rPr>
                <w:rFonts w:eastAsia="Calibri" w:cs="Calibri"/>
                <w:b/>
                <w:sz w:val="20"/>
                <w:szCs w:val="20"/>
              </w:rPr>
              <w:t>%</w:t>
            </w:r>
          </w:p>
        </w:tc>
        <w:tc>
          <w:tcPr>
            <w:tcW w:w="1984" w:type="dxa"/>
          </w:tcPr>
          <w:p w14:paraId="1166A9A1" w14:textId="77777777" w:rsidR="00863C47" w:rsidRPr="00711557" w:rsidRDefault="00863C47" w:rsidP="00A01354">
            <w:pPr>
              <w:spacing w:after="0" w:line="259" w:lineRule="auto"/>
              <w:ind w:left="81" w:firstLine="0"/>
              <w:jc w:val="center"/>
              <w:rPr>
                <w:sz w:val="20"/>
                <w:szCs w:val="20"/>
              </w:rPr>
            </w:pPr>
            <w:r w:rsidRPr="00711557">
              <w:rPr>
                <w:rFonts w:eastAsia="Calibri" w:cs="Calibri"/>
                <w:b/>
                <w:sz w:val="20"/>
                <w:szCs w:val="20"/>
              </w:rPr>
              <w:t>%</w:t>
            </w:r>
          </w:p>
        </w:tc>
      </w:tr>
      <w:tr w:rsidR="00863C47" w:rsidRPr="00711557" w14:paraId="46C650CA" w14:textId="77777777" w:rsidTr="00E84392">
        <w:trPr>
          <w:trHeight w:val="608"/>
        </w:trPr>
        <w:tc>
          <w:tcPr>
            <w:tcW w:w="1306" w:type="dxa"/>
          </w:tcPr>
          <w:p w14:paraId="7B01E4DD" w14:textId="77777777" w:rsidR="00863C47" w:rsidRPr="00711557" w:rsidRDefault="00863C47" w:rsidP="00A01354">
            <w:pPr>
              <w:spacing w:after="3" w:line="259" w:lineRule="auto"/>
              <w:ind w:left="0" w:firstLine="0"/>
              <w:rPr>
                <w:sz w:val="20"/>
                <w:szCs w:val="20"/>
              </w:rPr>
            </w:pPr>
            <w:r w:rsidRPr="00711557">
              <w:rPr>
                <w:rFonts w:eastAsia="Calibri" w:cs="Calibri"/>
                <w:sz w:val="20"/>
                <w:szCs w:val="20"/>
              </w:rPr>
              <w:t xml:space="preserve">Female </w:t>
            </w:r>
          </w:p>
          <w:p w14:paraId="12B5EE98" w14:textId="77777777" w:rsidR="00863C47" w:rsidRPr="00711557" w:rsidRDefault="00863C47" w:rsidP="00A01354">
            <w:pPr>
              <w:spacing w:after="0" w:line="259" w:lineRule="auto"/>
              <w:ind w:left="0" w:firstLine="0"/>
              <w:rPr>
                <w:sz w:val="20"/>
                <w:szCs w:val="20"/>
              </w:rPr>
            </w:pPr>
            <w:r w:rsidRPr="00711557">
              <w:rPr>
                <w:rFonts w:eastAsia="Calibri" w:cs="Calibri"/>
                <w:sz w:val="20"/>
                <w:szCs w:val="20"/>
              </w:rPr>
              <w:t>Male</w:t>
            </w:r>
          </w:p>
        </w:tc>
        <w:tc>
          <w:tcPr>
            <w:tcW w:w="1948" w:type="dxa"/>
          </w:tcPr>
          <w:p w14:paraId="47B2FB05" w14:textId="5BDEB28D" w:rsidR="00863C47" w:rsidRDefault="005671E7" w:rsidP="00A01354">
            <w:pPr>
              <w:spacing w:after="0" w:line="259" w:lineRule="auto"/>
              <w:ind w:left="0" w:hanging="75"/>
              <w:jc w:val="center"/>
              <w:rPr>
                <w:sz w:val="20"/>
                <w:szCs w:val="20"/>
              </w:rPr>
            </w:pPr>
            <w:r>
              <w:rPr>
                <w:sz w:val="20"/>
                <w:szCs w:val="20"/>
              </w:rPr>
              <w:t>7</w:t>
            </w:r>
            <w:r w:rsidR="0036760A">
              <w:rPr>
                <w:sz w:val="20"/>
                <w:szCs w:val="20"/>
              </w:rPr>
              <w:t>1</w:t>
            </w:r>
            <w:r>
              <w:rPr>
                <w:sz w:val="20"/>
                <w:szCs w:val="20"/>
              </w:rPr>
              <w:t>.</w:t>
            </w:r>
            <w:r w:rsidR="0036760A">
              <w:rPr>
                <w:sz w:val="20"/>
                <w:szCs w:val="20"/>
              </w:rPr>
              <w:t>1</w:t>
            </w:r>
          </w:p>
          <w:p w14:paraId="50AE9793" w14:textId="5AB96AD0" w:rsidR="005671E7" w:rsidRPr="00711557" w:rsidRDefault="005671E7" w:rsidP="00A01354">
            <w:pPr>
              <w:spacing w:after="0" w:line="259" w:lineRule="auto"/>
              <w:ind w:left="0" w:hanging="75"/>
              <w:jc w:val="center"/>
              <w:rPr>
                <w:sz w:val="20"/>
                <w:szCs w:val="20"/>
              </w:rPr>
            </w:pPr>
            <w:r>
              <w:rPr>
                <w:sz w:val="20"/>
                <w:szCs w:val="20"/>
              </w:rPr>
              <w:t>2</w:t>
            </w:r>
            <w:r w:rsidR="0036760A">
              <w:rPr>
                <w:sz w:val="20"/>
                <w:szCs w:val="20"/>
              </w:rPr>
              <w:t>8</w:t>
            </w:r>
            <w:r>
              <w:rPr>
                <w:sz w:val="20"/>
                <w:szCs w:val="20"/>
              </w:rPr>
              <w:t>.</w:t>
            </w:r>
            <w:r w:rsidR="0036760A">
              <w:rPr>
                <w:sz w:val="20"/>
                <w:szCs w:val="20"/>
              </w:rPr>
              <w:t>9</w:t>
            </w:r>
          </w:p>
        </w:tc>
        <w:tc>
          <w:tcPr>
            <w:tcW w:w="1834" w:type="dxa"/>
          </w:tcPr>
          <w:p w14:paraId="1665D42A" w14:textId="373B5144" w:rsidR="00863C47" w:rsidRDefault="0036760A" w:rsidP="00A01354">
            <w:pPr>
              <w:spacing w:after="0" w:line="259" w:lineRule="auto"/>
              <w:ind w:left="87" w:firstLine="0"/>
              <w:jc w:val="center"/>
              <w:rPr>
                <w:sz w:val="20"/>
                <w:szCs w:val="20"/>
              </w:rPr>
            </w:pPr>
            <w:r>
              <w:rPr>
                <w:sz w:val="20"/>
                <w:szCs w:val="20"/>
              </w:rPr>
              <w:t>67</w:t>
            </w:r>
            <w:r w:rsidR="005671E7">
              <w:rPr>
                <w:sz w:val="20"/>
                <w:szCs w:val="20"/>
              </w:rPr>
              <w:t>.</w:t>
            </w:r>
            <w:r>
              <w:rPr>
                <w:sz w:val="20"/>
                <w:szCs w:val="20"/>
              </w:rPr>
              <w:t>1</w:t>
            </w:r>
          </w:p>
          <w:p w14:paraId="0C3022C4" w14:textId="79A95C1D" w:rsidR="005671E7" w:rsidRPr="00711557" w:rsidRDefault="0036760A" w:rsidP="00A01354">
            <w:pPr>
              <w:spacing w:after="0" w:line="259" w:lineRule="auto"/>
              <w:ind w:left="87" w:firstLine="0"/>
              <w:jc w:val="center"/>
              <w:rPr>
                <w:sz w:val="20"/>
                <w:szCs w:val="20"/>
              </w:rPr>
            </w:pPr>
            <w:r>
              <w:rPr>
                <w:sz w:val="20"/>
                <w:szCs w:val="20"/>
              </w:rPr>
              <w:t>32.9</w:t>
            </w:r>
          </w:p>
        </w:tc>
        <w:tc>
          <w:tcPr>
            <w:tcW w:w="1985" w:type="dxa"/>
          </w:tcPr>
          <w:p w14:paraId="430B21E6" w14:textId="382EA407" w:rsidR="00863C47" w:rsidRDefault="005671E7" w:rsidP="00A01354">
            <w:pPr>
              <w:spacing w:after="0" w:line="259" w:lineRule="auto"/>
              <w:ind w:left="89" w:firstLine="0"/>
              <w:jc w:val="center"/>
              <w:rPr>
                <w:sz w:val="20"/>
                <w:szCs w:val="20"/>
              </w:rPr>
            </w:pPr>
            <w:r>
              <w:rPr>
                <w:sz w:val="20"/>
                <w:szCs w:val="20"/>
              </w:rPr>
              <w:t>6</w:t>
            </w:r>
            <w:r w:rsidR="0036760A">
              <w:rPr>
                <w:sz w:val="20"/>
                <w:szCs w:val="20"/>
              </w:rPr>
              <w:t>4</w:t>
            </w:r>
            <w:r>
              <w:rPr>
                <w:sz w:val="20"/>
                <w:szCs w:val="20"/>
              </w:rPr>
              <w:t>.</w:t>
            </w:r>
            <w:r w:rsidR="0036760A">
              <w:rPr>
                <w:sz w:val="20"/>
                <w:szCs w:val="20"/>
              </w:rPr>
              <w:t>5</w:t>
            </w:r>
          </w:p>
          <w:p w14:paraId="33BD8154" w14:textId="67B6CAFF" w:rsidR="005671E7" w:rsidRPr="00711557" w:rsidRDefault="005671E7" w:rsidP="00A01354">
            <w:pPr>
              <w:spacing w:after="0" w:line="259" w:lineRule="auto"/>
              <w:ind w:left="89" w:firstLine="0"/>
              <w:jc w:val="center"/>
              <w:rPr>
                <w:sz w:val="20"/>
                <w:szCs w:val="20"/>
              </w:rPr>
            </w:pPr>
            <w:r>
              <w:rPr>
                <w:sz w:val="20"/>
                <w:szCs w:val="20"/>
              </w:rPr>
              <w:t>3</w:t>
            </w:r>
            <w:r w:rsidR="0036760A">
              <w:rPr>
                <w:sz w:val="20"/>
                <w:szCs w:val="20"/>
              </w:rPr>
              <w:t>5</w:t>
            </w:r>
            <w:r>
              <w:rPr>
                <w:sz w:val="20"/>
                <w:szCs w:val="20"/>
              </w:rPr>
              <w:t>.</w:t>
            </w:r>
            <w:r w:rsidR="0036760A">
              <w:rPr>
                <w:sz w:val="20"/>
                <w:szCs w:val="20"/>
              </w:rPr>
              <w:t>5</w:t>
            </w:r>
          </w:p>
        </w:tc>
        <w:tc>
          <w:tcPr>
            <w:tcW w:w="1984" w:type="dxa"/>
          </w:tcPr>
          <w:p w14:paraId="2E7D49BF" w14:textId="6A9676F8" w:rsidR="00863C47" w:rsidRDefault="0036760A" w:rsidP="00A01354">
            <w:pPr>
              <w:spacing w:after="0" w:line="259" w:lineRule="auto"/>
              <w:ind w:left="102" w:firstLine="0"/>
              <w:jc w:val="center"/>
              <w:rPr>
                <w:sz w:val="20"/>
                <w:szCs w:val="20"/>
              </w:rPr>
            </w:pPr>
            <w:r>
              <w:rPr>
                <w:sz w:val="20"/>
                <w:szCs w:val="20"/>
              </w:rPr>
              <w:t>50.0</w:t>
            </w:r>
          </w:p>
          <w:p w14:paraId="7FB7BC78" w14:textId="295EFC3C" w:rsidR="005671E7" w:rsidRPr="00711557" w:rsidRDefault="0036760A" w:rsidP="00A01354">
            <w:pPr>
              <w:spacing w:after="0" w:line="259" w:lineRule="auto"/>
              <w:ind w:left="102" w:firstLine="0"/>
              <w:jc w:val="center"/>
              <w:rPr>
                <w:sz w:val="20"/>
                <w:szCs w:val="20"/>
              </w:rPr>
            </w:pPr>
            <w:r>
              <w:rPr>
                <w:sz w:val="20"/>
                <w:szCs w:val="20"/>
              </w:rPr>
              <w:t>50.0</w:t>
            </w:r>
          </w:p>
        </w:tc>
      </w:tr>
    </w:tbl>
    <w:p w14:paraId="41161F56" w14:textId="0A188933" w:rsidR="00863C47" w:rsidRPr="00C310FE" w:rsidRDefault="00863C47" w:rsidP="00A01354">
      <w:pPr>
        <w:ind w:left="0" w:firstLine="0"/>
        <w:rPr>
          <w:sz w:val="20"/>
          <w:szCs w:val="20"/>
        </w:rPr>
      </w:pPr>
      <w:r w:rsidRPr="00C310FE">
        <w:rPr>
          <w:sz w:val="20"/>
          <w:szCs w:val="20"/>
        </w:rPr>
        <w:t xml:space="preserve">Total Proportions – </w:t>
      </w:r>
      <w:r w:rsidR="005671E7">
        <w:rPr>
          <w:sz w:val="20"/>
          <w:szCs w:val="20"/>
        </w:rPr>
        <w:t>6</w:t>
      </w:r>
      <w:r w:rsidR="0036760A">
        <w:rPr>
          <w:sz w:val="20"/>
          <w:szCs w:val="20"/>
        </w:rPr>
        <w:t>3</w:t>
      </w:r>
      <w:r w:rsidR="005671E7">
        <w:rPr>
          <w:sz w:val="20"/>
          <w:szCs w:val="20"/>
        </w:rPr>
        <w:t>.</w:t>
      </w:r>
      <w:r w:rsidR="0036760A">
        <w:rPr>
          <w:sz w:val="20"/>
          <w:szCs w:val="20"/>
        </w:rPr>
        <w:t>2</w:t>
      </w:r>
      <w:r w:rsidR="00EF1B57">
        <w:rPr>
          <w:sz w:val="20"/>
          <w:szCs w:val="20"/>
        </w:rPr>
        <w:t xml:space="preserve">% Female, </w:t>
      </w:r>
      <w:r w:rsidR="0036760A">
        <w:rPr>
          <w:sz w:val="20"/>
          <w:szCs w:val="20"/>
        </w:rPr>
        <w:t>36</w:t>
      </w:r>
      <w:r w:rsidR="005671E7">
        <w:rPr>
          <w:sz w:val="20"/>
          <w:szCs w:val="20"/>
        </w:rPr>
        <w:t>.</w:t>
      </w:r>
      <w:r w:rsidR="0036760A">
        <w:rPr>
          <w:sz w:val="20"/>
          <w:szCs w:val="20"/>
        </w:rPr>
        <w:t>8</w:t>
      </w:r>
      <w:r w:rsidR="00EF1B57">
        <w:rPr>
          <w:sz w:val="20"/>
          <w:szCs w:val="20"/>
        </w:rPr>
        <w:t xml:space="preserve">% </w:t>
      </w:r>
      <w:r w:rsidR="009A6E5B">
        <w:rPr>
          <w:sz w:val="20"/>
          <w:szCs w:val="20"/>
        </w:rPr>
        <w:t>Male (</w:t>
      </w:r>
      <w:r w:rsidR="00EF1B57">
        <w:rPr>
          <w:sz w:val="20"/>
          <w:szCs w:val="20"/>
        </w:rPr>
        <w:t xml:space="preserve">compared to </w:t>
      </w:r>
      <w:r w:rsidRPr="00C310FE">
        <w:rPr>
          <w:sz w:val="20"/>
          <w:szCs w:val="20"/>
        </w:rPr>
        <w:t xml:space="preserve">Female </w:t>
      </w:r>
      <w:r w:rsidR="0036760A">
        <w:rPr>
          <w:sz w:val="20"/>
          <w:szCs w:val="20"/>
        </w:rPr>
        <w:t>64.1%</w:t>
      </w:r>
      <w:r w:rsidR="001950E6">
        <w:rPr>
          <w:sz w:val="20"/>
          <w:szCs w:val="20"/>
        </w:rPr>
        <w:t xml:space="preserve"> </w:t>
      </w:r>
      <w:r w:rsidRPr="00C310FE">
        <w:rPr>
          <w:sz w:val="20"/>
          <w:szCs w:val="20"/>
        </w:rPr>
        <w:t xml:space="preserve">Male </w:t>
      </w:r>
      <w:r w:rsidR="002927CC">
        <w:rPr>
          <w:sz w:val="20"/>
          <w:szCs w:val="20"/>
        </w:rPr>
        <w:t>35.</w:t>
      </w:r>
      <w:r w:rsidR="0036760A">
        <w:rPr>
          <w:sz w:val="20"/>
          <w:szCs w:val="20"/>
        </w:rPr>
        <w:t>9</w:t>
      </w:r>
      <w:r w:rsidRPr="00C310FE">
        <w:rPr>
          <w:sz w:val="20"/>
          <w:szCs w:val="20"/>
        </w:rPr>
        <w:t>%</w:t>
      </w:r>
      <w:r w:rsidR="00EF1B57">
        <w:rPr>
          <w:sz w:val="20"/>
          <w:szCs w:val="20"/>
        </w:rPr>
        <w:t xml:space="preserve"> in 202</w:t>
      </w:r>
      <w:r w:rsidR="0036760A">
        <w:rPr>
          <w:sz w:val="20"/>
          <w:szCs w:val="20"/>
        </w:rPr>
        <w:t>2</w:t>
      </w:r>
      <w:r w:rsidR="00EF1B57">
        <w:rPr>
          <w:sz w:val="20"/>
          <w:szCs w:val="20"/>
        </w:rPr>
        <w:t>)</w:t>
      </w:r>
    </w:p>
    <w:p w14:paraId="08BD0ACD" w14:textId="77777777" w:rsidR="00863C47" w:rsidRPr="00E4659D" w:rsidRDefault="00863C47" w:rsidP="00A01354">
      <w:pPr>
        <w:ind w:left="0" w:firstLine="0"/>
        <w:rPr>
          <w:b/>
          <w:bCs/>
          <w:sz w:val="20"/>
          <w:szCs w:val="20"/>
        </w:rPr>
      </w:pPr>
    </w:p>
    <w:p w14:paraId="25349E33" w14:textId="64263338" w:rsidR="00862264" w:rsidRPr="00711557" w:rsidRDefault="00711557" w:rsidP="002927CC">
      <w:pPr>
        <w:pStyle w:val="Heading2"/>
        <w:spacing w:after="161"/>
        <w:ind w:left="0" w:firstLine="0"/>
        <w:rPr>
          <w:sz w:val="20"/>
          <w:szCs w:val="20"/>
        </w:rPr>
      </w:pPr>
      <w:r w:rsidRPr="00711557">
        <w:rPr>
          <w:sz w:val="20"/>
          <w:szCs w:val="20"/>
        </w:rPr>
        <w:t xml:space="preserve">Supporting Statement </w:t>
      </w:r>
    </w:p>
    <w:p w14:paraId="6EA5D022" w14:textId="134D11A1" w:rsidR="00862264" w:rsidRPr="00711557" w:rsidRDefault="00711557" w:rsidP="00711557">
      <w:pPr>
        <w:spacing w:after="173"/>
        <w:ind w:left="-5" w:right="-1"/>
        <w:rPr>
          <w:sz w:val="20"/>
          <w:szCs w:val="20"/>
        </w:rPr>
      </w:pPr>
      <w:r w:rsidRPr="00711557">
        <w:rPr>
          <w:sz w:val="20"/>
          <w:szCs w:val="20"/>
        </w:rPr>
        <w:t xml:space="preserve">The Maltby Learning Trust (MLT) is committed to the promotion of equality of opportunity </w:t>
      </w:r>
      <w:r>
        <w:rPr>
          <w:sz w:val="20"/>
          <w:szCs w:val="20"/>
        </w:rPr>
        <w:t>a</w:t>
      </w:r>
      <w:r w:rsidRPr="00711557">
        <w:rPr>
          <w:sz w:val="20"/>
          <w:szCs w:val="20"/>
        </w:rPr>
        <w:t>nd choice for employees and supports the fair treatment of all staff irrespective of gender through our transparent recruitment process, pay policy and professional development</w:t>
      </w:r>
      <w:r w:rsidR="00F33AEF" w:rsidRPr="00711557">
        <w:rPr>
          <w:sz w:val="20"/>
          <w:szCs w:val="20"/>
        </w:rPr>
        <w:t xml:space="preserve">. </w:t>
      </w:r>
      <w:r w:rsidR="000C14B6">
        <w:rPr>
          <w:sz w:val="20"/>
          <w:szCs w:val="20"/>
        </w:rPr>
        <w:t>Gender Pay Gap is different to Equal Pay</w:t>
      </w:r>
      <w:r w:rsidR="00F33AEF">
        <w:rPr>
          <w:sz w:val="20"/>
          <w:szCs w:val="20"/>
        </w:rPr>
        <w:t xml:space="preserve">. </w:t>
      </w:r>
      <w:r w:rsidR="000C14B6">
        <w:rPr>
          <w:sz w:val="20"/>
          <w:szCs w:val="20"/>
        </w:rPr>
        <w:t>Equal Pay deals with the pay differences between men and women who carry out the same jobs, a</w:t>
      </w:r>
      <w:r w:rsidRPr="00711557">
        <w:rPr>
          <w:sz w:val="20"/>
          <w:szCs w:val="20"/>
        </w:rPr>
        <w:t xml:space="preserve">ll our posts are aligned to nationally agreed pay scales and our male and female staff are paid with the same pay bands for the same job role. In common with most educational organisations, the MLT employs more female full pay relevant employees than male. </w:t>
      </w:r>
    </w:p>
    <w:p w14:paraId="62A7C318" w14:textId="3215B2FB" w:rsidR="0081271B" w:rsidRPr="00711557" w:rsidRDefault="00711557" w:rsidP="00F0749F">
      <w:pPr>
        <w:spacing w:after="169"/>
        <w:ind w:left="-5" w:right="-1"/>
        <w:rPr>
          <w:sz w:val="20"/>
          <w:szCs w:val="20"/>
        </w:rPr>
      </w:pPr>
      <w:r w:rsidRPr="00711557">
        <w:rPr>
          <w:sz w:val="20"/>
          <w:szCs w:val="20"/>
        </w:rPr>
        <w:t xml:space="preserve">The Gender Pay Gap is a high level, non-adjusted indicator of male and female earnings which is affected by workforce distribution and workforce make-up. The overall pay gap reflects the workforce composition rather than pay inequalities. </w:t>
      </w:r>
    </w:p>
    <w:p w14:paraId="198C9234" w14:textId="77777777" w:rsidR="00862264" w:rsidRPr="00711557" w:rsidRDefault="00711557" w:rsidP="00711557">
      <w:pPr>
        <w:pStyle w:val="Heading2"/>
        <w:spacing w:after="161"/>
        <w:ind w:left="-5"/>
        <w:rPr>
          <w:sz w:val="20"/>
          <w:szCs w:val="20"/>
        </w:rPr>
      </w:pPr>
      <w:r w:rsidRPr="00711557">
        <w:rPr>
          <w:sz w:val="20"/>
          <w:szCs w:val="20"/>
        </w:rPr>
        <w:t xml:space="preserve">Declaration </w:t>
      </w:r>
    </w:p>
    <w:p w14:paraId="40D18AB0" w14:textId="77777777" w:rsidR="00862264" w:rsidRPr="00711557" w:rsidRDefault="00711557" w:rsidP="00711557">
      <w:pPr>
        <w:spacing w:after="169"/>
        <w:ind w:left="-5" w:right="-1"/>
        <w:rPr>
          <w:sz w:val="20"/>
          <w:szCs w:val="20"/>
        </w:rPr>
      </w:pPr>
      <w:r w:rsidRPr="00711557">
        <w:rPr>
          <w:sz w:val="20"/>
          <w:szCs w:val="20"/>
        </w:rPr>
        <w:t xml:space="preserve">I can confirm that the above information has been prepared from our payroll data on the snapshot date and fairly represents the Gender Pay Gap Information for the Maltby Learning Trust. </w:t>
      </w:r>
    </w:p>
    <w:p w14:paraId="41C26BD0" w14:textId="77777777" w:rsidR="00862264" w:rsidRPr="00711557" w:rsidRDefault="00711557" w:rsidP="00711557">
      <w:pPr>
        <w:spacing w:after="159" w:line="259" w:lineRule="auto"/>
        <w:ind w:left="0" w:firstLine="0"/>
        <w:rPr>
          <w:sz w:val="20"/>
          <w:szCs w:val="20"/>
        </w:rPr>
      </w:pPr>
      <w:r w:rsidRPr="00711557">
        <w:rPr>
          <w:sz w:val="20"/>
          <w:szCs w:val="20"/>
        </w:rPr>
        <w:t xml:space="preserve"> </w:t>
      </w:r>
    </w:p>
    <w:p w14:paraId="00860BBA" w14:textId="6A93FD60" w:rsidR="00862264" w:rsidRPr="00711557" w:rsidRDefault="00711557" w:rsidP="00711557">
      <w:pPr>
        <w:spacing w:after="169"/>
        <w:ind w:left="-5" w:right="1106"/>
        <w:rPr>
          <w:sz w:val="20"/>
          <w:szCs w:val="20"/>
        </w:rPr>
      </w:pPr>
      <w:r w:rsidRPr="00711557">
        <w:rPr>
          <w:sz w:val="20"/>
          <w:szCs w:val="20"/>
        </w:rPr>
        <w:lastRenderedPageBreak/>
        <w:t xml:space="preserve">Mr </w:t>
      </w:r>
      <w:r w:rsidR="00E14A05">
        <w:rPr>
          <w:sz w:val="20"/>
          <w:szCs w:val="20"/>
        </w:rPr>
        <w:t>D</w:t>
      </w:r>
      <w:r w:rsidRPr="00711557">
        <w:rPr>
          <w:sz w:val="20"/>
          <w:szCs w:val="20"/>
        </w:rPr>
        <w:t xml:space="preserve"> Sutton </w:t>
      </w:r>
      <w:r>
        <w:rPr>
          <w:sz w:val="20"/>
          <w:szCs w:val="20"/>
        </w:rPr>
        <w:br/>
      </w:r>
      <w:r w:rsidRPr="00711557">
        <w:rPr>
          <w:sz w:val="20"/>
          <w:szCs w:val="20"/>
        </w:rPr>
        <w:t>Chief Executive Officer</w:t>
      </w:r>
      <w:r>
        <w:rPr>
          <w:sz w:val="20"/>
          <w:szCs w:val="20"/>
        </w:rPr>
        <w:br/>
      </w:r>
      <w:r w:rsidRPr="00711557">
        <w:rPr>
          <w:sz w:val="20"/>
          <w:szCs w:val="20"/>
        </w:rPr>
        <w:t xml:space="preserve">Maltby Learning Trust </w:t>
      </w:r>
    </w:p>
    <w:sectPr w:rsidR="00862264" w:rsidRPr="00711557" w:rsidSect="008900C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517BA"/>
    <w:multiLevelType w:val="hybridMultilevel"/>
    <w:tmpl w:val="D32CD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925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4"/>
    <w:rsid w:val="0006172F"/>
    <w:rsid w:val="00081FDD"/>
    <w:rsid w:val="000B1AB6"/>
    <w:rsid w:val="000C04A8"/>
    <w:rsid w:val="000C14B6"/>
    <w:rsid w:val="001234F2"/>
    <w:rsid w:val="001403A8"/>
    <w:rsid w:val="00153564"/>
    <w:rsid w:val="001563DB"/>
    <w:rsid w:val="00156451"/>
    <w:rsid w:val="00183F38"/>
    <w:rsid w:val="001950E6"/>
    <w:rsid w:val="001B2D85"/>
    <w:rsid w:val="001C21FC"/>
    <w:rsid w:val="001E0B2B"/>
    <w:rsid w:val="002115ED"/>
    <w:rsid w:val="00223894"/>
    <w:rsid w:val="00285E26"/>
    <w:rsid w:val="002927CC"/>
    <w:rsid w:val="002B5DA5"/>
    <w:rsid w:val="002D46E0"/>
    <w:rsid w:val="00313F51"/>
    <w:rsid w:val="00313F77"/>
    <w:rsid w:val="0036760A"/>
    <w:rsid w:val="003A7C75"/>
    <w:rsid w:val="003B41D2"/>
    <w:rsid w:val="003C3F3A"/>
    <w:rsid w:val="004049B8"/>
    <w:rsid w:val="00433E2F"/>
    <w:rsid w:val="00452C6E"/>
    <w:rsid w:val="004D418D"/>
    <w:rsid w:val="004E5046"/>
    <w:rsid w:val="00515D5E"/>
    <w:rsid w:val="00554E00"/>
    <w:rsid w:val="005671E7"/>
    <w:rsid w:val="00570BF7"/>
    <w:rsid w:val="0057150D"/>
    <w:rsid w:val="00581A01"/>
    <w:rsid w:val="0059144F"/>
    <w:rsid w:val="005B30C6"/>
    <w:rsid w:val="005D3281"/>
    <w:rsid w:val="00661F4D"/>
    <w:rsid w:val="00674857"/>
    <w:rsid w:val="00700DB6"/>
    <w:rsid w:val="00711557"/>
    <w:rsid w:val="00712CE9"/>
    <w:rsid w:val="007849BB"/>
    <w:rsid w:val="007B7D71"/>
    <w:rsid w:val="007C0D33"/>
    <w:rsid w:val="007F2A82"/>
    <w:rsid w:val="0081271B"/>
    <w:rsid w:val="00822600"/>
    <w:rsid w:val="00831BC7"/>
    <w:rsid w:val="00862264"/>
    <w:rsid w:val="00863C47"/>
    <w:rsid w:val="00872FCC"/>
    <w:rsid w:val="00881FC6"/>
    <w:rsid w:val="008900C7"/>
    <w:rsid w:val="008C336F"/>
    <w:rsid w:val="008C7710"/>
    <w:rsid w:val="009A6E5B"/>
    <w:rsid w:val="009A7DDE"/>
    <w:rsid w:val="009B2304"/>
    <w:rsid w:val="009B2504"/>
    <w:rsid w:val="009C581A"/>
    <w:rsid w:val="009D3652"/>
    <w:rsid w:val="009E69CC"/>
    <w:rsid w:val="009E6A73"/>
    <w:rsid w:val="009F06A6"/>
    <w:rsid w:val="00A03BB3"/>
    <w:rsid w:val="00A10B29"/>
    <w:rsid w:val="00A3424A"/>
    <w:rsid w:val="00A41EB2"/>
    <w:rsid w:val="00A460A3"/>
    <w:rsid w:val="00A6492B"/>
    <w:rsid w:val="00A90BB2"/>
    <w:rsid w:val="00AB7826"/>
    <w:rsid w:val="00B96C4E"/>
    <w:rsid w:val="00BA08E3"/>
    <w:rsid w:val="00BC665F"/>
    <w:rsid w:val="00BE5035"/>
    <w:rsid w:val="00C06657"/>
    <w:rsid w:val="00C310FE"/>
    <w:rsid w:val="00CA0F4B"/>
    <w:rsid w:val="00CC3B85"/>
    <w:rsid w:val="00CD2A40"/>
    <w:rsid w:val="00CD3EB1"/>
    <w:rsid w:val="00CF72AB"/>
    <w:rsid w:val="00D019DB"/>
    <w:rsid w:val="00D053CC"/>
    <w:rsid w:val="00D1359C"/>
    <w:rsid w:val="00D22ED4"/>
    <w:rsid w:val="00D75880"/>
    <w:rsid w:val="00D8170F"/>
    <w:rsid w:val="00D86250"/>
    <w:rsid w:val="00DB5480"/>
    <w:rsid w:val="00DC2641"/>
    <w:rsid w:val="00DD46D2"/>
    <w:rsid w:val="00E14A05"/>
    <w:rsid w:val="00E4659D"/>
    <w:rsid w:val="00E84392"/>
    <w:rsid w:val="00ED1673"/>
    <w:rsid w:val="00EE6DF2"/>
    <w:rsid w:val="00EF0DAC"/>
    <w:rsid w:val="00EF1B57"/>
    <w:rsid w:val="00F0509A"/>
    <w:rsid w:val="00F0749F"/>
    <w:rsid w:val="00F33AEF"/>
    <w:rsid w:val="00F4679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5622"/>
  <w15:docId w15:val="{1A9F17E6-0C0B-46FC-9DE1-209A62FF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0"/>
      <w:outlineLvl w:val="0"/>
    </w:pPr>
    <w:rPr>
      <w:rFonts w:ascii="Century Gothic" w:eastAsia="Century Gothic" w:hAnsi="Century Gothic" w:cs="Century Gothic"/>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36"/>
    </w:rPr>
  </w:style>
  <w:style w:type="character" w:customStyle="1" w:styleId="Heading2Char">
    <w:name w:val="Heading 2 Char"/>
    <w:link w:val="Heading2"/>
    <w:uiPriority w:val="9"/>
    <w:rPr>
      <w:rFonts w:ascii="Century Gothic" w:eastAsia="Century Gothic" w:hAnsi="Century Gothic" w:cs="Century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1557"/>
    <w:pPr>
      <w:ind w:left="720"/>
      <w:contextualSpacing/>
    </w:pPr>
  </w:style>
  <w:style w:type="paragraph" w:styleId="Revision">
    <w:name w:val="Revision"/>
    <w:hidden/>
    <w:uiPriority w:val="99"/>
    <w:semiHidden/>
    <w:rsid w:val="002D46E0"/>
    <w:pPr>
      <w:spacing w:after="0" w:line="240" w:lineRule="auto"/>
    </w:pPr>
    <w:rPr>
      <w:rFonts w:ascii="Century Gothic" w:eastAsia="Century Gothic" w:hAnsi="Century Gothic" w:cs="Century Goth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B61291BBDC04BB06A82C7723DE7C9" ma:contentTypeVersion="18" ma:contentTypeDescription="Create a new document." ma:contentTypeScope="" ma:versionID="94e3ef9504979cfe592d50a53a104725">
  <xsd:schema xmlns:xsd="http://www.w3.org/2001/XMLSchema" xmlns:xs="http://www.w3.org/2001/XMLSchema" xmlns:p="http://schemas.microsoft.com/office/2006/metadata/properties" xmlns:ns2="71aa419b-575c-422e-ae90-0e242ad26eda" xmlns:ns3="bbb34d57-f6d5-4311-8f36-fddf801f61ba" targetNamespace="http://schemas.microsoft.com/office/2006/metadata/properties" ma:root="true" ma:fieldsID="ff6c239e2cfe3ad7d7e1d9268101deb3" ns2:_="" ns3:_="">
    <xsd:import namespace="71aa419b-575c-422e-ae90-0e242ad26eda"/>
    <xsd:import namespace="bbb34d57-f6d5-4311-8f36-fddf801f6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a419b-575c-422e-ae90-0e242ad26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67698e-f182-4eb1-8c33-7d8ebf6b25f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34d57-f6d5-4311-8f36-fddf801f61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27f0b70-5a7e-459b-a424-02e9d0052b16}" ma:internalName="TaxCatchAll" ma:showField="CatchAllData" ma:web="bbb34d57-f6d5-4311-8f36-fddf801f6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b34d57-f6d5-4311-8f36-fddf801f61ba" xsi:nil="true"/>
    <lcf76f155ced4ddcb4097134ff3c332f xmlns="71aa419b-575c-422e-ae90-0e242ad26e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78D3F3-F6F5-486F-AEB4-61C0EB4A7E95}">
  <ds:schemaRefs>
    <ds:schemaRef ds:uri="http://schemas.microsoft.com/sharepoint/v3/contenttype/forms"/>
  </ds:schemaRefs>
</ds:datastoreItem>
</file>

<file path=customXml/itemProps2.xml><?xml version="1.0" encoding="utf-8"?>
<ds:datastoreItem xmlns:ds="http://schemas.openxmlformats.org/officeDocument/2006/customXml" ds:itemID="{961ED82B-84CC-4138-847F-10A2104D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a419b-575c-422e-ae90-0e242ad26eda"/>
    <ds:schemaRef ds:uri="bbb34d57-f6d5-4311-8f36-fddf801f6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19EBF-3FA6-47A5-B9EE-F70A7CD2CA31}">
  <ds:schemaRefs>
    <ds:schemaRef ds:uri="http://schemas.microsoft.com/office/2006/metadata/properties"/>
    <ds:schemaRef ds:uri="http://schemas.microsoft.com/office/infopath/2007/PartnerControls"/>
    <ds:schemaRef ds:uri="bbb34d57-f6d5-4311-8f36-fddf801f61ba"/>
    <ds:schemaRef ds:uri="71aa419b-575c-422e-ae90-0e242ad26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Lambert</dc:creator>
  <cp:keywords/>
  <cp:lastModifiedBy>R Barratt</cp:lastModifiedBy>
  <cp:revision>3</cp:revision>
  <cp:lastPrinted>2021-02-08T12:58:00Z</cp:lastPrinted>
  <dcterms:created xsi:type="dcterms:W3CDTF">2024-03-08T08:57:00Z</dcterms:created>
  <dcterms:modified xsi:type="dcterms:W3CDTF">2024-03-08T09:17:00Z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0x010100EB9B61291BBDC04BB06A82C7723DE7C9</vt:lpwstr>
  </property>
  <property fmtid="{D5CDD505-2E9C-101B-9397-08002B2CF9AE}" pid="3" name="MediaServiceImageTags">
    <vt:lpwstr/>
  </property>
</Properties>
</file>